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2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default" w:ascii="仿宋_GB2312" w:hAnsi="仿宋_GB2312" w:eastAsia="仿宋_GB2312" w:cs="仿宋_GB2312"/>
          <w:bCs/>
          <w:sz w:val="30"/>
          <w:szCs w:val="30"/>
          <w:lang w:val="en" w:eastAsia="zh-CN"/>
        </w:rPr>
        <w:t>温州市15分钟品质文化生活圈视频拍摄制作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          联系方式：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zRjNjRiNzRiYmNlMGFkNGE0MjUzMWVjNmUyOTgifQ=="/>
  </w:docVars>
  <w:rsids>
    <w:rsidRoot w:val="5DE26087"/>
    <w:rsid w:val="49441CD0"/>
    <w:rsid w:val="5DE26087"/>
    <w:rsid w:val="6AFB2E00"/>
    <w:rsid w:val="753B8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rFonts w:ascii="仿宋_GB2312" w:eastAsia="仿宋_GB2312" w:cs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166</Characters>
  <Lines>0</Lines>
  <Paragraphs>0</Paragraphs>
  <TotalTime>1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2022-05-30T12:15:00Z</dcterms:created>
  <dc:creator>WZLY</dc:creator>
  <cp:lastModifiedBy>黄晨希</cp:lastModifiedBy>
  <dcterms:modified xsi:type="dcterms:W3CDTF">2022-06-20T08:38:05Z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DF2CB42140BE4D2DBE0A7B2F0F7E3330</vt:lpwstr>
  </property>
</Properties>
</file>