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framePr w:wrap="around"/>
      </w:pPr>
      <w:r>
        <w:rPr>
          <w:rFonts w:ascii="Times New Roman"/>
        </w:rPr>
        <w:t xml:space="preserve">ICS </w:t>
      </w:r>
      <w:r>
        <w:rPr>
          <w:rFonts w:hint="eastAsia" w:ascii="Times New Roman"/>
        </w:rPr>
        <w:t xml:space="preserve"> </w:t>
      </w:r>
      <w:r>
        <w:rPr>
          <w:rFonts w:ascii="Times New Roman"/>
        </w:rPr>
        <w:t xml:space="preserve"> </w:t>
      </w:r>
      <w:r>
        <w:rPr>
          <w:rFonts w:hAnsi="黑体"/>
        </w:rPr>
        <w:t> </w:t>
      </w:r>
    </w:p>
    <w:p>
      <w:pPr>
        <w:pStyle w:val="119"/>
        <w:framePr w:wrap="around"/>
        <w:rPr>
          <w:rFonts w:ascii="Times New Roman"/>
        </w:rPr>
      </w:pPr>
      <w:r>
        <w:rPr>
          <w:rFonts w:hint="eastAsia" w:ascii="Times New Roman"/>
        </w:rPr>
        <w:t xml:space="preserve">CCS  </w:t>
      </w:r>
      <w:r>
        <w:rPr>
          <w:rFonts w:ascii="Times New Roman"/>
        </w:rPr>
        <w:t xml:space="preserve">A  </w:t>
      </w:r>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119"/>
              <w:framePr w:wrap="around"/>
            </w:pPr>
            <w:r>
              <mc:AlternateContent>
                <mc:Choice Requires="wps">
                  <w:drawing>
                    <wp:anchor distT="0" distB="0" distL="114300" distR="114300" simplePos="0" relativeHeight="251663360" behindDoc="1" locked="0" layoutInCell="1" allowOverlap="1">
                      <wp:simplePos x="0" y="0"/>
                      <wp:positionH relativeFrom="column">
                        <wp:posOffset>-66675</wp:posOffset>
                      </wp:positionH>
                      <wp:positionV relativeFrom="paragraph">
                        <wp:posOffset>0</wp:posOffset>
                      </wp:positionV>
                      <wp:extent cx="866775" cy="198120"/>
                      <wp:effectExtent l="0" t="0" r="9525" b="0"/>
                      <wp:wrapNone/>
                      <wp:docPr id="6"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3120;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K4v7NUAAAAHAQAADwAAAAAAAAABACAAAAAi&#10;AAAAZHJzL2Rvd25yZXYueG1sUEsBAhQAFAAAAAgAh07iQMhJMdUNAgAAIAQAAA4AAAAAAAAAAQAg&#10;AAAAJAEAAGRycy9lMm9Eb2MueG1sUEsFBgAAAAAGAAYAWQEAAKMFAAAAAA==&#10;">
                      <v:fill on="t" focussize="0,0"/>
                      <v:stroke on="f"/>
                      <v:imagedata o:title=""/>
                      <o:lock v:ext="edit" aspectratio="f"/>
                    </v:rect>
                  </w:pict>
                </mc:Fallback>
              </mc:AlternateContent>
            </w:r>
            <w:r>
              <w:fldChar w:fldCharType="begin">
                <w:ffData>
                  <w:name w:val="BAH"/>
                  <w:enabled/>
                  <w:calcOnExit w:val="0"/>
                  <w:textInput/>
                </w:ffData>
              </w:fldChar>
            </w:r>
            <w:bookmarkStart w:id="0" w:name="BAH"/>
            <w:r>
              <w:instrText xml:space="preserve"> FORMTEXT </w:instrText>
            </w:r>
            <w:r>
              <w:fldChar w:fldCharType="separate"/>
            </w:r>
            <w:r>
              <w:fldChar w:fldCharType="end"/>
            </w:r>
            <w:bookmarkEnd w:id="0"/>
          </w:p>
        </w:tc>
      </w:tr>
    </w:tbl>
    <w:p>
      <w:pPr>
        <w:pStyle w:val="105"/>
        <w:framePr w:wrap="around"/>
      </w:pPr>
      <w:r>
        <w:t>DB3303</w:t>
      </w:r>
    </w:p>
    <w:p>
      <w:pPr>
        <w:pStyle w:val="106"/>
        <w:framePr w:wrap="around"/>
      </w:pPr>
      <w:r>
        <w:fldChar w:fldCharType="begin">
          <w:ffData>
            <w:name w:val="c4"/>
            <w:enabled/>
            <w:calcOnExit w:val="0"/>
            <w:textInput/>
          </w:ffData>
        </w:fldChar>
      </w:r>
      <w:bookmarkStart w:id="1" w:name="c4"/>
      <w:r>
        <w:instrText xml:space="preserve"> FORMTEXT </w:instrText>
      </w:r>
      <w:r>
        <w:fldChar w:fldCharType="separate"/>
      </w:r>
      <w:r>
        <w:rPr>
          <w:rFonts w:hint="eastAsia"/>
        </w:rPr>
        <w:t>温州市</w:t>
      </w:r>
      <w:r>
        <w:fldChar w:fldCharType="end"/>
      </w:r>
      <w:bookmarkEnd w:id="1"/>
      <w:r>
        <w:rPr>
          <w:rFonts w:hint="eastAsia"/>
        </w:rPr>
        <w:t>地方标准</w:t>
      </w:r>
    </w:p>
    <w:p>
      <w:pPr>
        <w:pStyle w:val="43"/>
        <w:framePr w:wrap="around"/>
        <w:rPr>
          <w:rFonts w:hAnsi="黑体"/>
        </w:rPr>
      </w:pPr>
      <w:r>
        <w:rPr>
          <w:rFonts w:ascii="Times New Roman"/>
        </w:rPr>
        <w:t>DB3303/T</w:t>
      </w:r>
      <w:r>
        <w:rPr>
          <w:rFonts w:hAnsi="黑体"/>
        </w:rPr>
        <w:t xml:space="preserve"> XXX—</w:t>
      </w:r>
      <w:r>
        <w:rPr>
          <w:rFonts w:hAnsi="黑体"/>
        </w:rPr>
        <w:fldChar w:fldCharType="begin">
          <w:ffData>
            <w:name w:val="StdNo2"/>
            <w:enabled/>
            <w:calcOnExit w:val="0"/>
            <w:textInput>
              <w:default w:val="2021"/>
              <w:maxLength w:val="4"/>
            </w:textInput>
          </w:ffData>
        </w:fldChar>
      </w:r>
      <w:bookmarkStart w:id="2" w:name="StdNo2"/>
      <w:r>
        <w:rPr>
          <w:rFonts w:hAnsi="黑体"/>
        </w:rPr>
        <w:instrText xml:space="preserve"> FORMTEXT </w:instrText>
      </w:r>
      <w:r>
        <w:rPr>
          <w:rFonts w:hAnsi="黑体"/>
        </w:rPr>
        <w:fldChar w:fldCharType="separate"/>
      </w:r>
      <w:r>
        <w:rPr>
          <w:rFonts w:hAnsi="黑体"/>
        </w:rPr>
        <w:t>2021</w:t>
      </w:r>
      <w:r>
        <w:rPr>
          <w:rFonts w:hAnsi="黑体"/>
        </w:rPr>
        <w:fldChar w:fldCharType="end"/>
      </w:r>
      <w:bookmarkEnd w:id="2"/>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2"/>
              <w:framePr w:wrap="around"/>
            </w:pPr>
            <w: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l1ToMJAgAAIAQAAA4AAAAAAAAAAQAgAAAA&#10;JQEAAGRycy9lMm9Eb2MueG1sUEsFBgAAAAAGAAYAWQEAAKAFAAAAAA==&#10;">
                      <v:fill on="t" focussize="0,0"/>
                      <v:stroke on="f"/>
                      <v:imagedata o:title=""/>
                      <o:lock v:ext="edit" aspectratio="f"/>
                    </v:rect>
                  </w:pict>
                </mc:Fallback>
              </mc:AlternateContent>
            </w:r>
            <w:r>
              <w:fldChar w:fldCharType="begin">
                <w:ffData>
                  <w:name w:val="DT"/>
                  <w:enabled/>
                  <w:calcOnExit w:val="0"/>
                  <w:textInput/>
                </w:ffData>
              </w:fldChar>
            </w:r>
            <w:bookmarkStart w:id="3" w:name="DT"/>
            <w:r>
              <w:instrText xml:space="preserve"> FORMTEXT </w:instrText>
            </w:r>
            <w:r>
              <w:fldChar w:fldCharType="separate"/>
            </w:r>
            <w:r>
              <w:t>     </w:t>
            </w:r>
            <w:r>
              <w:fldChar w:fldCharType="end"/>
            </w:r>
            <w:bookmarkEnd w:id="3"/>
          </w:p>
        </w:tc>
      </w:tr>
    </w:tbl>
    <w:p>
      <w:pPr>
        <w:pStyle w:val="43"/>
        <w:framePr w:wrap="around"/>
        <w:rPr>
          <w:rFonts w:hAnsi="黑体"/>
        </w:rPr>
      </w:pPr>
    </w:p>
    <w:p>
      <w:pPr>
        <w:pStyle w:val="43"/>
        <w:framePr w:wrap="around"/>
        <w:rPr>
          <w:rFonts w:hAnsi="黑体"/>
        </w:rPr>
      </w:pPr>
    </w:p>
    <w:p>
      <w:pPr>
        <w:pStyle w:val="74"/>
        <w:framePr w:h="5476" w:hRule="exact" w:wrap="around"/>
      </w:pPr>
      <w:r>
        <w:rPr>
          <w:rFonts w:hint="eastAsia"/>
        </w:rPr>
        <w:t>流动书巴服务规范</w:t>
      </w:r>
    </w:p>
    <w:p>
      <w:pPr>
        <w:pStyle w:val="76"/>
        <w:framePr w:h="5476" w:hRule="exact" w:wrap="around"/>
      </w:pPr>
    </w:p>
    <w:p>
      <w:pPr>
        <w:pStyle w:val="76"/>
        <w:framePr w:h="5476" w:hRule="exact" w:wrap="around"/>
      </w:pPr>
      <w:r>
        <w:fldChar w:fldCharType="begin">
          <w:ffData>
            <w:name w:val="YZBS"/>
            <w:enabled/>
            <w:calcOnExit w:val="0"/>
            <w:textInput>
              <w:default w:val="点击此处添加与国际标准一致性程度的标识"/>
            </w:textInput>
          </w:ffData>
        </w:fldChar>
      </w:r>
      <w:bookmarkStart w:id="4" w:name="YZBS"/>
      <w:r>
        <w:instrText xml:space="preserve"> FORMTEXT </w:instrText>
      </w:r>
      <w:r>
        <w:fldChar w:fldCharType="separate"/>
      </w:r>
      <w:r>
        <w:t>     </w:t>
      </w:r>
      <w:r>
        <w:fldChar w:fldCharType="end"/>
      </w:r>
      <w:bookmarkEnd w:id="4"/>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7"/>
              <w:framePr w:h="5476" w:hRule="exact" w:wrap="around"/>
            </w:pPr>
            <w: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4"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&#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Fia6S1QAAAAoBAAAPAAAAAAAAAAEAIAAAACIAAABk&#10;cnMvZG93bnJldi54bWxQSwECFAAUAAAACACHTuJAbG1PugkCAAAgBAAADgAAAAAAAAABACAAAAAk&#10;AQAAZHJzL2Uyb0RvYy54bWxQSwUGAAAAAAYABgBZAQAAnwUAAAAA&#10;">
                      <v:fill on="t" focussize="0,0"/>
                      <v:stroke on="f"/>
                      <v:imagedata o:title=""/>
                      <o:lock v:ext="edit" aspectratio="f"/>
                      <w10:anchorlock/>
                    </v:rect>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3"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GL5dYAAAAJAQAADwAAAAAAAAABACAAAAAiAAAA&#10;ZHJzL2Rvd25yZXYueG1sUEsBAhQAFAAAAAgAh07iQBxxlwgJAgAAIAQAAA4AAAAAAAAAAQAgAAAA&#10;JQEAAGRycy9lMm9Eb2MueG1sUEsFBgAAAAAGAAYAWQEAAKAFA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78"/>
              <w:framePr w:h="5476" w:hRule="exact" w:wrap="around"/>
            </w:pPr>
            <w:r>
              <w:fldChar w:fldCharType="begin">
                <w:ffData>
                  <w:name w:val="WCRQ"/>
                  <w:enabled/>
                  <w:calcOnExit w:val="0"/>
                  <w:textInput/>
                </w:ffData>
              </w:fldChar>
            </w:r>
            <w:bookmarkStart w:id="5" w:name="WCRQ"/>
            <w:r>
              <w:instrText xml:space="preserve"> FORMTEXT </w:instrText>
            </w:r>
            <w:r>
              <w:fldChar w:fldCharType="separate"/>
            </w:r>
            <w:r>
              <w:t>     </w:t>
            </w:r>
            <w:r>
              <w:fldChar w:fldCharType="end"/>
            </w:r>
            <w:bookmarkEnd w:id="5"/>
          </w:p>
        </w:tc>
      </w:tr>
    </w:tbl>
    <w:p>
      <w:pPr>
        <w:pStyle w:val="126"/>
        <w:framePr w:w="2896" w:wrap="around" w:hAnchor="page" w:x="1456" w:y="14431"/>
      </w:pPr>
      <w:r>
        <w:rPr>
          <w:rFonts w:ascii="黑体"/>
        </w:rPr>
        <w:fldChar w:fldCharType="begin">
          <w:ffData>
            <w:name w:val="FY"/>
            <w:enabled/>
            <w:calcOnExit w:val="0"/>
            <w:textInput>
              <w:default w:val="2021"/>
              <w:maxLength w:val="4"/>
            </w:textInput>
          </w:ffData>
        </w:fldChar>
      </w:r>
      <w:bookmarkStart w:id="6" w:name="FY"/>
      <w:r>
        <w:rPr>
          <w:rFonts w:ascii="黑体"/>
        </w:rPr>
        <w:instrText xml:space="preserve"> FORMTEXT </w:instrText>
      </w:r>
      <w:r>
        <w:rPr>
          <w:rFonts w:ascii="黑体"/>
        </w:rPr>
        <w:fldChar w:fldCharType="separate"/>
      </w:r>
      <w:r>
        <w:rPr>
          <w:rFonts w:ascii="黑体"/>
        </w:rPr>
        <w:t>2021</w:t>
      </w:r>
      <w:r>
        <w:rPr>
          <w:rFonts w:ascii="黑体"/>
        </w:rPr>
        <w:fldChar w:fldCharType="end"/>
      </w:r>
      <w:bookmarkEnd w:id="6"/>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 xml:space="preserve">发布 </w:t>
      </w:r>
    </w:p>
    <w:p>
      <w:pPr>
        <w:pStyle w:val="127"/>
        <w:framePr w:w="3511" w:wrap="around" w:hAnchor="page" w:x="8410" w:y="14416"/>
        <w:ind w:left="-7088" w:leftChars="-3375" w:right="958" w:rightChars="456"/>
      </w:pPr>
      <w:r>
        <w:rPr>
          <w:rFonts w:ascii="黑体"/>
        </w:rPr>
        <w:fldChar w:fldCharType="begin">
          <w:ffData>
            <w:name w:val="SY"/>
            <w:enabled/>
            <w:calcOnExit w:val="0"/>
            <w:textInput>
              <w:default w:val="2021"/>
              <w:maxLength w:val="4"/>
            </w:textInput>
          </w:ffData>
        </w:fldChar>
      </w:r>
      <w:bookmarkStart w:id="7" w:name="SY"/>
      <w:r>
        <w:rPr>
          <w:rFonts w:ascii="黑体"/>
        </w:rPr>
        <w:instrText xml:space="preserve"> FORMTEXT </w:instrText>
      </w:r>
      <w:r>
        <w:rPr>
          <w:rFonts w:ascii="黑体"/>
        </w:rPr>
        <w:fldChar w:fldCharType="separate"/>
      </w:r>
      <w:r>
        <w:rPr>
          <w:rFonts w:ascii="黑体"/>
        </w:rPr>
        <w:t>2021</w:t>
      </w:r>
      <w:r>
        <w:rPr>
          <w:rFonts w:ascii="黑体"/>
        </w:rPr>
        <w:fldChar w:fldCharType="end"/>
      </w:r>
      <w:bookmarkEnd w:id="7"/>
      <w:r>
        <w:t xml:space="preserve"> </w:t>
      </w:r>
      <w:r>
        <w:rPr>
          <w:rFonts w:ascii="黑体"/>
        </w:rPr>
        <w:t>-</w:t>
      </w:r>
      <w:r>
        <w:t xml:space="preserve"> </w:t>
      </w:r>
      <w:r>
        <w:rPr>
          <w:rFonts w:ascii="黑体"/>
        </w:rPr>
        <w:t>XX</w:t>
      </w:r>
      <w:r>
        <w:t xml:space="preserve"> </w:t>
      </w:r>
      <w:r>
        <w:rPr>
          <w:rFonts w:ascii="黑体"/>
        </w:rPr>
        <w:t>-</w:t>
      </w:r>
      <w:r>
        <w:t xml:space="preserve"> </w:t>
      </w:r>
      <w:r>
        <w:rPr>
          <w:rFonts w:ascii="黑体"/>
        </w:rPr>
        <w:t>XX</w:t>
      </w:r>
      <w:r>
        <w:rPr>
          <w:rFonts w:hint="eastAsia"/>
        </w:rPr>
        <w:t>实施</w:t>
      </w:r>
    </w:p>
    <w:p>
      <w:pPr>
        <w:pStyle w:val="107"/>
        <w:framePr w:wrap="around"/>
      </w:pPr>
      <w:r>
        <w:rPr>
          <w:rFonts w:hint="eastAsia"/>
        </w:rPr>
        <w:t>温州市市场监督管理局</w:t>
      </w:r>
      <w:r>
        <w:rPr>
          <w:rFonts w:hAnsi="黑体"/>
        </w:rPr>
        <w:t>   </w:t>
      </w:r>
      <w:r>
        <w:rPr>
          <w:rStyle w:val="69"/>
          <w:rFonts w:hint="eastAsia"/>
        </w:rPr>
        <w:t>发布</w:t>
      </w:r>
    </w:p>
    <w:p>
      <w:pPr>
        <w:pStyle w:val="21"/>
        <w:sectPr>
          <w:headerReference r:id="rId3" w:type="even"/>
          <w:footerReference r:id="rId4" w:type="even"/>
          <w:pgSz w:w="11906" w:h="16838"/>
          <w:pgMar w:top="567" w:right="1134" w:bottom="1134" w:left="1417" w:header="0" w:footer="0" w:gutter="0"/>
          <w:pgNumType w:start="1"/>
          <w:cols w:space="425" w:num="1"/>
          <w:docGrid w:type="lines" w:linePitch="312" w:charSpace="0"/>
        </w:sectPr>
      </w:pPr>
      <w:bookmarkStart w:id="40" w:name="_GoBack"/>
      <w:bookmarkEnd w:id="40"/>
      <w: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9141460</wp:posOffset>
                </wp:positionV>
                <wp:extent cx="6120130" cy="0"/>
                <wp:effectExtent l="0" t="0" r="33020" b="19050"/>
                <wp:wrapNone/>
                <wp:docPr id="8"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top:719.8pt;height:0pt;width:481.9pt;mso-position-horizontal:left;mso-position-horizontal-relative:margin;z-index:251664384;mso-width-relative:page;mso-height-relative:page;" filled="f" stroked="t" coordsize="21600,21600" o:gfxdata="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baEvvtUAAAAKAQAADwAAAAAAAAABACAAAAAiAAAAZHJzL2Rvd25y&#10;ZXYueG1sUEsBAhQAFAAAAAgAh07iQOf/YNXIAQAAoAMAAA4AAAAAAAAAAQAgAAAAJAEAAGRycy9l&#10;Mm9Eb2MueG1sUEsFBgAAAAAGAAYAWQEAAF4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2339340</wp:posOffset>
                </wp:positionV>
                <wp:extent cx="6120130" cy="0"/>
                <wp:effectExtent l="0" t="0" r="33020" b="19050"/>
                <wp:wrapNone/>
                <wp:docPr id="1"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pt;height:0pt;width:481.9pt;z-index:251659264;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1vAI1wAAAAkBAAAPAAAAAAAAAAEAIAAAACIAAABkcnMvZG93&#10;bnJldi54bWxQSwECFAAUAAAACACHTuJAaX8Ks8gBAACgAwAADgAAAAAAAAABACAAAAAmAQAAZHJz&#10;L2Uyb0RvYy54bWxQSwUGAAAAAAYABgBZAQAAYAUAAAAA&#10;">
                <v:fill on="f" focussize="0,0"/>
                <v:stroke color="#000000" joinstyle="round"/>
                <v:imagedata o:title=""/>
                <o:lock v:ext="edit" aspectratio="f"/>
              </v:line>
            </w:pict>
          </mc:Fallback>
        </mc:AlternateContent>
      </w:r>
    </w:p>
    <w:p>
      <w:pPr>
        <w:pStyle w:val="108"/>
      </w:pPr>
      <w:bookmarkStart w:id="8" w:name="_Toc57982736"/>
      <w:bookmarkStart w:id="9" w:name="_Toc63321424"/>
      <w:bookmarkStart w:id="10" w:name="_Toc68869498"/>
      <w:bookmarkStart w:id="11" w:name="_Toc64986925"/>
      <w:bookmarkStart w:id="12" w:name="_Toc70269673"/>
      <w:r>
        <w:rPr>
          <w:rFonts w:hint="eastAsia"/>
        </w:rPr>
        <w:t>前</w:t>
      </w:r>
      <w:bookmarkStart w:id="13" w:name="BKQY"/>
      <w:r>
        <w:rPr>
          <w:rFonts w:hAnsi="黑体"/>
        </w:rPr>
        <w:t>  </w:t>
      </w:r>
      <w:r>
        <w:rPr>
          <w:rFonts w:hint="eastAsia"/>
        </w:rPr>
        <w:t>言</w:t>
      </w:r>
      <w:bookmarkEnd w:id="8"/>
      <w:bookmarkEnd w:id="9"/>
      <w:bookmarkEnd w:id="10"/>
      <w:bookmarkEnd w:id="11"/>
      <w:bookmarkEnd w:id="12"/>
      <w:bookmarkEnd w:id="13"/>
    </w:p>
    <w:p>
      <w:pPr>
        <w:pStyle w:val="21"/>
      </w:pPr>
      <w:r>
        <w:rPr>
          <w:rFonts w:hint="eastAsia"/>
        </w:rPr>
        <w:t>本文件按照</w:t>
      </w:r>
      <w:r>
        <w:rPr>
          <w:rFonts w:ascii="Times New Roman"/>
        </w:rPr>
        <w:t>GB/T 1.1—2020</w:t>
      </w:r>
      <w:r>
        <w:rPr>
          <w:rFonts w:hint="eastAsia"/>
        </w:rPr>
        <w:t>《标准化工作导则  第1部分：标准化文件的结构和起草规则》的规定起草。</w:t>
      </w:r>
    </w:p>
    <w:p>
      <w:pPr>
        <w:pStyle w:val="21"/>
      </w:pPr>
      <w:r>
        <w:rPr>
          <w:rFonts w:hint="eastAsia"/>
        </w:rPr>
        <w:t xml:space="preserve">请注意本文件的某些内容可能涉及专利。本文件的发布机构不承担识别专利的责任。 </w:t>
      </w:r>
    </w:p>
    <w:p>
      <w:pPr>
        <w:pStyle w:val="21"/>
      </w:pPr>
      <w:r>
        <w:rPr>
          <w:rFonts w:hint="eastAsia"/>
        </w:rPr>
        <w:t xml:space="preserve">本文件由温州市文化广电旅游局提出及归口。 </w:t>
      </w:r>
    </w:p>
    <w:p>
      <w:pPr>
        <w:pStyle w:val="21"/>
      </w:pPr>
      <w:r>
        <w:rPr>
          <w:rFonts w:hint="eastAsia"/>
        </w:rPr>
        <w:t>本文件起草单位：温州市图书馆、温州市标准化科学研究院。</w:t>
      </w:r>
    </w:p>
    <w:p>
      <w:pPr>
        <w:pStyle w:val="21"/>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r>
        <w:rPr>
          <w:rFonts w:hint="eastAsia"/>
        </w:rPr>
        <w:t>本文件主要起草人：张启林、谢巧巧、黄冰姿、虞爱娜、任东升、毛薇洁</w:t>
      </w:r>
      <w:r>
        <w:rPr>
          <w:rFonts w:hint="eastAsia"/>
          <w:lang w:eastAsia="zh-CN"/>
        </w:rPr>
        <w:t>、</w:t>
      </w:r>
      <w:r>
        <w:rPr>
          <w:rFonts w:hint="eastAsia"/>
        </w:rPr>
        <w:t>赵于惠。</w:t>
      </w:r>
    </w:p>
    <w:p>
      <w:pPr>
        <w:pStyle w:val="46"/>
      </w:pPr>
      <w:r>
        <w:rPr>
          <w:rFonts w:hint="eastAsia"/>
        </w:rPr>
        <w:t>流动书巴</w:t>
      </w:r>
      <w:r>
        <w:t>服务规范</w:t>
      </w:r>
    </w:p>
    <w:p>
      <w:pPr>
        <w:pStyle w:val="41"/>
      </w:pPr>
      <w:bookmarkStart w:id="14" w:name="_Toc68869499"/>
      <w:bookmarkStart w:id="15" w:name="_Toc63321425"/>
      <w:bookmarkStart w:id="16" w:name="_Toc70269674"/>
      <w:bookmarkStart w:id="17" w:name="_Toc57982737"/>
      <w:bookmarkStart w:id="18" w:name="_Toc64986926"/>
      <w:r>
        <w:rPr>
          <w:rFonts w:hint="eastAsia"/>
        </w:rPr>
        <w:t>范围</w:t>
      </w:r>
      <w:bookmarkEnd w:id="14"/>
      <w:bookmarkEnd w:id="15"/>
      <w:bookmarkEnd w:id="16"/>
      <w:bookmarkEnd w:id="17"/>
      <w:bookmarkEnd w:id="18"/>
    </w:p>
    <w:p>
      <w:pPr>
        <w:pStyle w:val="21"/>
      </w:pPr>
      <w:r>
        <w:rPr>
          <w:rFonts w:hint="eastAsia"/>
        </w:rPr>
        <w:t>本文件规定了</w:t>
      </w:r>
      <w:r>
        <w:rPr>
          <w:rFonts w:hint="eastAsia" w:asciiTheme="minorEastAsia" w:hAnsiTheme="minorEastAsia" w:eastAsiaTheme="minorEastAsia" w:cstheme="minorEastAsia"/>
          <w:szCs w:val="21"/>
        </w:rPr>
        <w:t>流动书巴服务规范的术语和定义、车辆、服务点、人员、文献、服务、管理、</w:t>
      </w:r>
      <w:r>
        <w:rPr>
          <w:rFonts w:hint="eastAsia" w:asciiTheme="minorEastAsia" w:hAnsiTheme="minorEastAsia" w:eastAsiaTheme="minorEastAsia" w:cstheme="minorEastAsia"/>
          <w:szCs w:val="21"/>
          <w:lang w:eastAsia="zh-CN"/>
        </w:rPr>
        <w:t>满意度</w:t>
      </w:r>
      <w:r>
        <w:rPr>
          <w:rFonts w:hint="eastAsia"/>
        </w:rPr>
        <w:t>。</w:t>
      </w:r>
    </w:p>
    <w:p>
      <w:pPr>
        <w:pStyle w:val="21"/>
      </w:pPr>
      <w:r>
        <w:rPr>
          <w:rFonts w:hint="eastAsia"/>
        </w:rPr>
        <w:t>本文件适用于</w:t>
      </w:r>
      <w:r>
        <w:rPr>
          <w:rFonts w:hint="eastAsia" w:asciiTheme="minorEastAsia" w:hAnsiTheme="minorEastAsia" w:eastAsiaTheme="minorEastAsia" w:cstheme="minorEastAsia"/>
          <w:szCs w:val="21"/>
        </w:rPr>
        <w:t>温州市行政区域内公共图书馆系统的流动书巴服务</w:t>
      </w:r>
      <w:r>
        <w:rPr>
          <w:rFonts w:hint="eastAsia" w:asciiTheme="minorEastAsia" w:hAnsiTheme="minorEastAsia" w:eastAsiaTheme="minorEastAsia" w:cstheme="minorEastAsia"/>
          <w:szCs w:val="21"/>
          <w:lang w:eastAsia="zh-CN"/>
        </w:rPr>
        <w:t>，其他流动书巴可参照执行</w:t>
      </w:r>
      <w:r>
        <w:rPr>
          <w:rFonts w:hint="eastAsia"/>
        </w:rPr>
        <w:t>。</w:t>
      </w:r>
    </w:p>
    <w:p>
      <w:pPr>
        <w:pStyle w:val="41"/>
      </w:pPr>
      <w:bookmarkStart w:id="19" w:name="_Toc70269675"/>
      <w:bookmarkStart w:id="20" w:name="_Toc63321426"/>
      <w:bookmarkStart w:id="21" w:name="_Toc68869500"/>
      <w:bookmarkStart w:id="22" w:name="_Toc64986927"/>
      <w:bookmarkStart w:id="23" w:name="_Toc57982738"/>
      <w:r>
        <w:rPr>
          <w:rFonts w:hint="eastAsia"/>
        </w:rPr>
        <w:t>规范性引用文件</w:t>
      </w:r>
      <w:bookmarkEnd w:id="19"/>
      <w:bookmarkEnd w:id="20"/>
      <w:bookmarkEnd w:id="21"/>
      <w:bookmarkEnd w:id="22"/>
      <w:bookmarkEnd w:id="23"/>
    </w:p>
    <w:p>
      <w:pPr>
        <w:pStyle w:val="21"/>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1"/>
      </w:pPr>
      <w:bookmarkStart w:id="24" w:name="_Toc68869501"/>
      <w:bookmarkStart w:id="25" w:name="_Toc64986928"/>
      <w:bookmarkStart w:id="26" w:name="_Toc57982739"/>
      <w:bookmarkStart w:id="27" w:name="_Toc63321427"/>
      <w:bookmarkStart w:id="28" w:name="_Toc70269676"/>
      <w:r>
        <w:rPr>
          <w:rFonts w:hint="eastAsia"/>
        </w:rPr>
        <w:t>WH/T 76-2016 流动图书车车载装置通用技术条件</w:t>
      </w:r>
    </w:p>
    <w:p>
      <w:pPr>
        <w:pStyle w:val="21"/>
      </w:pPr>
      <w:r>
        <w:rPr>
          <w:rFonts w:hint="eastAsia"/>
        </w:rPr>
        <w:t>GB/T 10001.1 公共信息图形符号 第1部分：通用符号术语和定义</w:t>
      </w:r>
      <w:bookmarkEnd w:id="24"/>
      <w:bookmarkEnd w:id="25"/>
      <w:bookmarkEnd w:id="26"/>
      <w:bookmarkEnd w:id="27"/>
      <w:bookmarkEnd w:id="28"/>
    </w:p>
    <w:p>
      <w:pPr>
        <w:pStyle w:val="41"/>
      </w:pPr>
      <w:r>
        <w:rPr>
          <w:rFonts w:hint="eastAsia"/>
        </w:rPr>
        <w:t>术语和定义</w:t>
      </w:r>
    </w:p>
    <w:p>
      <w:pPr>
        <w:pStyle w:val="21"/>
      </w:pPr>
      <w:r>
        <w:rPr>
          <w:rFonts w:hint="eastAsia"/>
        </w:rPr>
        <w:t>下列术语和定义</w:t>
      </w:r>
      <w:r>
        <w:t>适用于本文件</w:t>
      </w:r>
      <w:r>
        <w:rPr>
          <w:rFonts w:hint="eastAsia"/>
        </w:rPr>
        <w:t>。</w:t>
      </w:r>
    </w:p>
    <w:p>
      <w:pPr>
        <w:pStyle w:val="38"/>
      </w:pPr>
    </w:p>
    <w:p>
      <w:pPr>
        <w:pStyle w:val="38"/>
        <w:numPr>
          <w:ilvl w:val="0"/>
          <w:numId w:val="0"/>
        </w:numPr>
        <w:ind w:firstLine="420" w:firstLineChars="200"/>
      </w:pPr>
      <w:r>
        <w:rPr>
          <w:rFonts w:hint="eastAsia"/>
        </w:rPr>
        <w:t>流动书巴</w:t>
      </w:r>
    </w:p>
    <w:p>
      <w:pPr>
        <w:pStyle w:val="21"/>
      </w:pPr>
      <w:r>
        <w:rPr>
          <w:rFonts w:hint="eastAsia"/>
        </w:rPr>
        <w:t>依托各级中心图书馆，以大中型专用客车为载体，装载文献资源，通过计算机和移动网络等技术设备，以流动的方式提供一体化服务的图书馆。</w:t>
      </w:r>
    </w:p>
    <w:p>
      <w:pPr>
        <w:pStyle w:val="38"/>
      </w:pPr>
    </w:p>
    <w:p>
      <w:pPr>
        <w:pStyle w:val="38"/>
        <w:numPr>
          <w:ilvl w:val="0"/>
          <w:numId w:val="0"/>
        </w:numPr>
        <w:ind w:firstLine="420" w:firstLineChars="200"/>
      </w:pPr>
      <w:r>
        <w:rPr>
          <w:rFonts w:hint="eastAsia"/>
        </w:rPr>
        <w:t>中心</w:t>
      </w:r>
      <w:r>
        <w:t>图书馆</w:t>
      </w:r>
    </w:p>
    <w:p>
      <w:pPr>
        <w:widowControl/>
        <w:ind w:firstLine="420" w:firstLineChars="200"/>
        <w:jc w:val="left"/>
      </w:pPr>
      <w:r>
        <w:rPr>
          <w:rFonts w:hint="eastAsia" w:ascii="宋体" w:hAnsi="宋体" w:cs="宋体"/>
          <w:color w:val="000000"/>
          <w:szCs w:val="21"/>
          <w:lang w:bidi="ar"/>
        </w:rPr>
        <w:t>在一定地域范围内，具有资源、技术及管理优势，在</w:t>
      </w:r>
      <w:r>
        <w:rPr>
          <w:rFonts w:hint="eastAsia" w:asciiTheme="minorEastAsia" w:hAnsiTheme="minorEastAsia" w:cstheme="minorEastAsia"/>
          <w:szCs w:val="21"/>
        </w:rPr>
        <w:t>流动书巴</w:t>
      </w:r>
      <w:r>
        <w:rPr>
          <w:rFonts w:hint="eastAsia" w:ascii="宋体" w:hAnsi="宋体" w:cs="宋体"/>
          <w:color w:val="000000"/>
          <w:szCs w:val="21"/>
          <w:lang w:bidi="ar"/>
        </w:rPr>
        <w:t>管理与服务过程中起核心作用的公共图书馆。</w:t>
      </w:r>
    </w:p>
    <w:p>
      <w:pPr>
        <w:pStyle w:val="41"/>
      </w:pPr>
      <w:r>
        <w:rPr>
          <w:rFonts w:hint="eastAsia"/>
        </w:rPr>
        <w:t>车辆</w:t>
      </w:r>
    </w:p>
    <w:p>
      <w:pPr>
        <w:pStyle w:val="121"/>
      </w:pPr>
      <w:bookmarkStart w:id="29" w:name="_Toc64986931"/>
      <w:bookmarkStart w:id="30" w:name="_Toc68869504"/>
      <w:bookmarkStart w:id="31" w:name="_Toc57982742"/>
      <w:bookmarkStart w:id="32" w:name="_Toc63321430"/>
      <w:bookmarkStart w:id="33" w:name="_Toc70269679"/>
      <w:r>
        <w:rPr>
          <w:rFonts w:hint="eastAsia"/>
        </w:rPr>
        <w:t>基本配置应符合表1要求</w:t>
      </w:r>
      <w:r>
        <w:t>。</w:t>
      </w:r>
    </w:p>
    <w:p>
      <w:pPr>
        <w:pStyle w:val="121"/>
      </w:pPr>
      <w:r>
        <w:rPr>
          <w:rFonts w:hint="eastAsia"/>
        </w:rPr>
        <w:t>安全配置、专用配置和辅助配置应分别符合WH/T 76-2016中6.1、6.3、6.4的要求。</w:t>
      </w:r>
      <w:bookmarkEnd w:id="29"/>
      <w:bookmarkEnd w:id="30"/>
      <w:bookmarkEnd w:id="31"/>
      <w:bookmarkEnd w:id="32"/>
      <w:bookmarkEnd w:id="33"/>
    </w:p>
    <w:p>
      <w:pPr>
        <w:pStyle w:val="121"/>
        <w:rPr>
          <w:lang w:bidi="ar"/>
        </w:rPr>
      </w:pPr>
      <w:r>
        <w:rPr>
          <w:rFonts w:hint="eastAsia"/>
          <w:lang w:bidi="ar"/>
        </w:rPr>
        <w:t>车身两侧显著位置应</w:t>
      </w:r>
      <w:r>
        <w:rPr>
          <w:rFonts w:hint="eastAsia"/>
        </w:rPr>
        <w:t>有图书馆</w:t>
      </w:r>
      <w:r>
        <w:rPr>
          <w:rFonts w:hint="eastAsia"/>
          <w:lang w:val="en-US" w:eastAsia="zh-CN"/>
        </w:rPr>
        <w:t>logo、图书馆名称和</w:t>
      </w:r>
      <w:r>
        <w:rPr>
          <w:rFonts w:hint="eastAsia"/>
        </w:rPr>
        <w:t>“流动书</w:t>
      </w:r>
      <w:r>
        <w:rPr>
          <w:rFonts w:hint="eastAsia"/>
          <w:lang w:bidi="ar"/>
        </w:rPr>
        <w:t>巴”</w:t>
      </w:r>
      <w:r>
        <w:rPr>
          <w:rFonts w:hint="eastAsia"/>
          <w:lang w:eastAsia="zh-CN" w:bidi="ar"/>
        </w:rPr>
        <w:t>字样</w:t>
      </w:r>
      <w:r>
        <w:rPr>
          <w:rFonts w:hint="eastAsia"/>
          <w:lang w:bidi="ar"/>
        </w:rPr>
        <w:t>，位置参见图1，</w:t>
      </w:r>
      <w:r>
        <w:rPr>
          <w:rFonts w:hint="eastAsia"/>
          <w:lang w:eastAsia="zh-CN" w:bidi="ar"/>
        </w:rPr>
        <w:t>车身颜色和图案</w:t>
      </w:r>
      <w:r>
        <w:rPr>
          <w:rFonts w:hint="eastAsia"/>
          <w:lang w:bidi="ar"/>
        </w:rPr>
        <w:t>宜根据服务人群进行个性化设计。</w:t>
      </w:r>
    </w:p>
    <w:p>
      <w:pPr>
        <w:pStyle w:val="121"/>
        <w:rPr>
          <w:lang w:bidi="ar"/>
        </w:rPr>
      </w:pPr>
      <w:r>
        <w:rPr>
          <w:rFonts w:hint="eastAsia"/>
          <w:lang w:bidi="ar"/>
        </w:rPr>
        <w:t>车身外观</w:t>
      </w:r>
      <w:r>
        <w:rPr>
          <w:lang w:bidi="ar"/>
        </w:rPr>
        <w:t>及车内</w:t>
      </w:r>
      <w:r>
        <w:rPr>
          <w:rFonts w:hint="eastAsia"/>
          <w:lang w:bidi="ar"/>
        </w:rPr>
        <w:t>相关标识应符合GB/T 10001.1要求。</w:t>
      </w:r>
    </w:p>
    <w:p>
      <w:pPr>
        <w:pStyle w:val="121"/>
        <w:numPr>
          <w:ilvl w:val="0"/>
          <w:numId w:val="0"/>
        </w:numPr>
        <w:rPr>
          <w:lang w:bidi="ar"/>
        </w:rPr>
      </w:pPr>
    </w:p>
    <w:p>
      <w:pPr>
        <w:pStyle w:val="121"/>
        <w:numPr>
          <w:ilvl w:val="0"/>
          <w:numId w:val="0"/>
        </w:numPr>
        <w:rPr>
          <w:lang w:bidi="ar"/>
        </w:rPr>
      </w:pPr>
    </w:p>
    <w:p>
      <w:pPr>
        <w:pStyle w:val="122"/>
      </w:pPr>
      <w:r>
        <w:rPr>
          <w:rFonts w:hint="eastAsia"/>
        </w:rPr>
        <w:t>车辆基本配置</w:t>
      </w:r>
    </w:p>
    <w:tbl>
      <w:tblPr>
        <w:tblStyle w:val="134"/>
        <w:tblW w:w="7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35"/>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jc w:val="center"/>
              <w:rPr>
                <w:rFonts w:ascii="宋体" w:hAnsi="宋体" w:cs="宋体"/>
                <w:kern w:val="0"/>
                <w:szCs w:val="21"/>
              </w:rPr>
            </w:pPr>
            <w:r>
              <w:rPr>
                <w:rFonts w:hint="eastAsia" w:ascii="宋体" w:hAnsi="宋体" w:cs="宋体"/>
                <w:b/>
                <w:bCs/>
                <w:kern w:val="0"/>
                <w:szCs w:val="21"/>
              </w:rPr>
              <w:t>项   目</w:t>
            </w:r>
          </w:p>
        </w:tc>
        <w:tc>
          <w:tcPr>
            <w:tcW w:w="1202" w:type="dxa"/>
          </w:tcPr>
          <w:p>
            <w:pPr>
              <w:jc w:val="center"/>
              <w:rPr>
                <w:rFonts w:ascii="宋体" w:hAnsi="宋体" w:cs="宋体"/>
                <w:b/>
                <w:bCs/>
                <w:kern w:val="0"/>
                <w:szCs w:val="21"/>
              </w:rPr>
            </w:pPr>
            <w:r>
              <w:rPr>
                <w:rFonts w:hint="eastAsia" w:ascii="宋体" w:hAnsi="宋体" w:cs="宋体"/>
                <w:b/>
                <w:bCs/>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jc w:val="center"/>
              <w:rPr>
                <w:rFonts w:ascii="宋体" w:hAnsi="宋体" w:cs="宋体"/>
                <w:color w:val="auto"/>
                <w:kern w:val="0"/>
                <w:szCs w:val="21"/>
              </w:rPr>
            </w:pPr>
            <w:r>
              <w:rPr>
                <w:rFonts w:hint="eastAsia" w:ascii="宋体" w:hAnsi="宋体" w:cs="宋体"/>
                <w:color w:val="auto"/>
                <w:kern w:val="0"/>
                <w:szCs w:val="21"/>
                <w:lang w:eastAsia="zh-CN"/>
              </w:rPr>
              <w:t>借还</w:t>
            </w:r>
            <w:r>
              <w:rPr>
                <w:rFonts w:hint="eastAsia" w:ascii="宋体" w:hAnsi="宋体" w:cs="宋体"/>
                <w:color w:val="auto"/>
                <w:kern w:val="0"/>
                <w:szCs w:val="21"/>
              </w:rPr>
              <w:t>系统</w:t>
            </w:r>
          </w:p>
          <w:p>
            <w:pPr>
              <w:jc w:val="center"/>
              <w:rPr>
                <w:rFonts w:ascii="宋体" w:hAnsi="宋体" w:cs="宋体"/>
                <w:color w:val="auto"/>
                <w:kern w:val="0"/>
                <w:szCs w:val="21"/>
              </w:rPr>
            </w:pPr>
            <w:r>
              <w:rPr>
                <w:rFonts w:hint="eastAsia" w:ascii="宋体" w:hAnsi="宋体" w:cs="宋体"/>
                <w:color w:val="auto"/>
                <w:kern w:val="0"/>
                <w:szCs w:val="21"/>
              </w:rPr>
              <w:t>（含主机、馆员工作站、条码扫描器、读卡设备、无线网卡）</w:t>
            </w:r>
          </w:p>
        </w:tc>
        <w:tc>
          <w:tcPr>
            <w:tcW w:w="1202" w:type="dxa"/>
            <w:vAlign w:val="center"/>
          </w:tcPr>
          <w:p>
            <w:pPr>
              <w:jc w:val="center"/>
              <w:rPr>
                <w:rFonts w:ascii="宋体" w:hAnsi="宋体" w:cs="宋体"/>
                <w:color w:val="auto"/>
                <w:kern w:val="0"/>
                <w:szCs w:val="21"/>
              </w:rPr>
            </w:pPr>
            <w:r>
              <w:rPr>
                <w:rFonts w:hint="eastAsia" w:ascii="宋体" w:hAnsi="宋体" w:cs="宋体"/>
                <w:color w:val="auto"/>
                <w:kern w:val="0"/>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jc w:val="center"/>
              <w:rPr>
                <w:rFonts w:ascii="宋体" w:hAnsi="宋体" w:cs="宋体"/>
                <w:color w:val="auto"/>
                <w:kern w:val="0"/>
                <w:szCs w:val="21"/>
              </w:rPr>
            </w:pPr>
            <w:r>
              <w:rPr>
                <w:rFonts w:hint="eastAsia" w:ascii="宋体" w:hAnsi="宋体" w:cs="宋体"/>
                <w:color w:val="auto"/>
                <w:kern w:val="0"/>
                <w:szCs w:val="21"/>
              </w:rPr>
              <w:t>不同运营商流量卡</w:t>
            </w:r>
          </w:p>
        </w:tc>
        <w:tc>
          <w:tcPr>
            <w:tcW w:w="1202" w:type="dxa"/>
          </w:tcPr>
          <w:p>
            <w:pPr>
              <w:jc w:val="center"/>
              <w:rPr>
                <w:rFonts w:ascii="宋体" w:hAnsi="宋体" w:cs="宋体"/>
                <w:color w:val="auto"/>
                <w:kern w:val="0"/>
                <w:szCs w:val="21"/>
              </w:rPr>
            </w:pPr>
            <w:r>
              <w:rPr>
                <w:rFonts w:hint="eastAsia" w:ascii="宋体" w:hAnsi="宋体"/>
                <w:color w:val="auto"/>
                <w:kern w:val="0"/>
                <w:sz w:val="20"/>
                <w:szCs w:val="20"/>
              </w:rPr>
              <w:t>≥2张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jc w:val="center"/>
              <w:rPr>
                <w:rFonts w:ascii="宋体" w:hAnsi="宋体" w:cs="宋体"/>
                <w:color w:val="auto"/>
                <w:kern w:val="0"/>
                <w:szCs w:val="21"/>
              </w:rPr>
            </w:pPr>
            <w:r>
              <w:rPr>
                <w:rFonts w:hint="eastAsia" w:ascii="宋体" w:hAnsi="宋体" w:cs="宋体"/>
                <w:color w:val="auto"/>
                <w:kern w:val="0"/>
                <w:szCs w:val="21"/>
              </w:rPr>
              <w:t>无线路由器</w:t>
            </w:r>
          </w:p>
        </w:tc>
        <w:tc>
          <w:tcPr>
            <w:tcW w:w="1202" w:type="dxa"/>
          </w:tcPr>
          <w:p>
            <w:pPr>
              <w:jc w:val="center"/>
              <w:rPr>
                <w:rFonts w:ascii="宋体" w:hAnsi="宋体" w:cs="宋体"/>
                <w:color w:val="auto"/>
                <w:kern w:val="0"/>
                <w:szCs w:val="21"/>
              </w:rPr>
            </w:pPr>
            <w:r>
              <w:rPr>
                <w:rFonts w:hint="eastAsia" w:ascii="宋体" w:hAnsi="宋体"/>
                <w:color w:val="auto"/>
                <w:kern w:val="0"/>
                <w:sz w:val="20"/>
                <w:szCs w:val="20"/>
              </w:rPr>
              <w:t>≥</w:t>
            </w:r>
            <w:r>
              <w:rPr>
                <w:rFonts w:hint="eastAsia" w:ascii="宋体" w:hAnsi="宋体"/>
                <w:color w:val="auto"/>
                <w:kern w:val="0"/>
                <w:sz w:val="20"/>
                <w:szCs w:val="20"/>
                <w:lang w:val="en-US" w:eastAsia="zh-CN"/>
              </w:rPr>
              <w:t>1</w:t>
            </w:r>
            <w:r>
              <w:rPr>
                <w:rFonts w:hint="eastAsia" w:ascii="宋体" w:hAnsi="宋体"/>
                <w:color w:val="auto"/>
                <w:kern w:val="0"/>
                <w:sz w:val="20"/>
                <w:szCs w:val="20"/>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jc w:val="center"/>
              <w:rPr>
                <w:rFonts w:ascii="宋体" w:hAnsi="宋体" w:cs="宋体"/>
                <w:color w:val="auto"/>
                <w:kern w:val="0"/>
                <w:szCs w:val="21"/>
              </w:rPr>
            </w:pPr>
            <w:r>
              <w:rPr>
                <w:rFonts w:hint="eastAsia" w:ascii="宋体" w:hAnsi="宋体" w:cs="宋体"/>
                <w:color w:val="auto"/>
                <w:kern w:val="0"/>
                <w:szCs w:val="21"/>
              </w:rPr>
              <w:t>服务台</w:t>
            </w:r>
          </w:p>
        </w:tc>
        <w:tc>
          <w:tcPr>
            <w:tcW w:w="1202" w:type="dxa"/>
          </w:tcPr>
          <w:p>
            <w:pPr>
              <w:jc w:val="center"/>
              <w:rPr>
                <w:rFonts w:ascii="宋体" w:hAnsi="宋体" w:cs="宋体"/>
                <w:color w:val="auto"/>
                <w:kern w:val="0"/>
                <w:szCs w:val="21"/>
              </w:rPr>
            </w:pPr>
            <w:r>
              <w:rPr>
                <w:rFonts w:hint="eastAsia" w:ascii="宋体" w:hAnsi="宋体" w:cs="宋体"/>
                <w:color w:val="auto"/>
                <w:kern w:val="0"/>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jc w:val="center"/>
              <w:rPr>
                <w:rFonts w:ascii="宋体" w:hAnsi="宋体" w:cs="宋体"/>
                <w:color w:val="auto"/>
                <w:kern w:val="0"/>
                <w:szCs w:val="21"/>
              </w:rPr>
            </w:pPr>
            <w:r>
              <w:rPr>
                <w:rFonts w:hint="eastAsia" w:ascii="宋体" w:hAnsi="宋体" w:cs="宋体"/>
                <w:color w:val="auto"/>
                <w:kern w:val="0"/>
                <w:szCs w:val="21"/>
              </w:rPr>
              <w:t>外接电源空调</w:t>
            </w:r>
          </w:p>
        </w:tc>
        <w:tc>
          <w:tcPr>
            <w:tcW w:w="1202" w:type="dxa"/>
          </w:tcPr>
          <w:p>
            <w:pPr>
              <w:jc w:val="center"/>
              <w:rPr>
                <w:rFonts w:ascii="宋体" w:hAnsi="宋体" w:cs="宋体"/>
                <w:color w:val="auto"/>
                <w:kern w:val="0"/>
                <w:szCs w:val="21"/>
              </w:rPr>
            </w:pPr>
            <w:r>
              <w:rPr>
                <w:rFonts w:hint="eastAsia" w:ascii="宋体" w:hAnsi="宋体" w:cs="宋体"/>
                <w:color w:val="auto"/>
                <w:kern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jc w:val="center"/>
              <w:rPr>
                <w:rFonts w:ascii="宋体" w:hAnsi="宋体" w:cs="宋体"/>
                <w:color w:val="auto"/>
                <w:kern w:val="0"/>
                <w:szCs w:val="21"/>
              </w:rPr>
            </w:pPr>
            <w:r>
              <w:rPr>
                <w:rFonts w:hint="eastAsia" w:ascii="宋体" w:hAnsi="宋体" w:cs="宋体"/>
                <w:color w:val="auto"/>
                <w:kern w:val="0"/>
                <w:szCs w:val="21"/>
              </w:rPr>
              <w:t>220v/50Hz、额定容量不低于3kVA移动式卷线电力盘</w:t>
            </w:r>
          </w:p>
        </w:tc>
        <w:tc>
          <w:tcPr>
            <w:tcW w:w="1202" w:type="dxa"/>
          </w:tcPr>
          <w:p>
            <w:pPr>
              <w:jc w:val="center"/>
              <w:rPr>
                <w:rFonts w:ascii="宋体" w:hAnsi="宋体" w:cs="宋体"/>
                <w:color w:val="auto"/>
                <w:kern w:val="0"/>
                <w:szCs w:val="21"/>
              </w:rPr>
            </w:pPr>
            <w:r>
              <w:rPr>
                <w:rFonts w:hint="eastAsia" w:ascii="宋体" w:hAnsi="宋体"/>
                <w:color w:val="auto"/>
                <w:kern w:val="0"/>
                <w:sz w:val="20"/>
                <w:szCs w:val="20"/>
              </w:rPr>
              <w:t>≥50米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35" w:type="dxa"/>
          </w:tcPr>
          <w:p>
            <w:pPr>
              <w:jc w:val="center"/>
              <w:rPr>
                <w:rFonts w:ascii="宋体" w:hAnsi="宋体" w:cs="宋体"/>
                <w:color w:val="auto"/>
                <w:kern w:val="0"/>
                <w:szCs w:val="21"/>
              </w:rPr>
            </w:pPr>
            <w:r>
              <w:rPr>
                <w:rFonts w:hint="eastAsia" w:ascii="宋体" w:hAnsi="宋体" w:cs="宋体"/>
                <w:color w:val="auto"/>
                <w:kern w:val="0"/>
                <w:szCs w:val="21"/>
              </w:rPr>
              <w:t>车载GPS定位及监控系统</w:t>
            </w:r>
          </w:p>
        </w:tc>
        <w:tc>
          <w:tcPr>
            <w:tcW w:w="1202" w:type="dxa"/>
          </w:tcPr>
          <w:p>
            <w:pPr>
              <w:jc w:val="center"/>
              <w:rPr>
                <w:rFonts w:ascii="宋体" w:hAnsi="宋体" w:cs="宋体"/>
                <w:color w:val="auto"/>
                <w:kern w:val="0"/>
                <w:szCs w:val="21"/>
              </w:rPr>
            </w:pPr>
            <w:r>
              <w:rPr>
                <w:rFonts w:hint="eastAsia" w:ascii="宋体" w:hAnsi="宋体" w:cs="宋体"/>
                <w:color w:val="auto"/>
                <w:kern w:val="0"/>
                <w:szCs w:val="21"/>
              </w:rPr>
              <w:t>1套</w:t>
            </w:r>
          </w:p>
        </w:tc>
      </w:tr>
    </w:tbl>
    <w:p>
      <w:pPr>
        <w:pStyle w:val="41"/>
        <w:numPr>
          <w:ilvl w:val="0"/>
          <w:numId w:val="0"/>
        </w:numPr>
        <w:jc w:val="both"/>
        <w:rPr>
          <w:rFonts w:hint="eastAsia" w:eastAsia="黑体"/>
          <w:color w:val="auto"/>
          <w:lang w:eastAsia="zh-CN"/>
        </w:rPr>
      </w:pPr>
    </w:p>
    <w:p>
      <w:pPr>
        <w:pStyle w:val="41"/>
        <w:numPr>
          <w:ilvl w:val="0"/>
          <w:numId w:val="0"/>
        </w:numPr>
        <w:jc w:val="center"/>
        <w:rPr>
          <w:rFonts w:hint="eastAsia" w:eastAsia="黑体"/>
          <w:lang w:eastAsia="zh-CN"/>
        </w:rPr>
      </w:pPr>
      <w:r>
        <w:rPr>
          <w:rFonts w:hint="eastAsia" w:eastAsia="黑体"/>
          <w:lang w:eastAsia="zh-CN"/>
        </w:rPr>
        <w:drawing>
          <wp:inline distT="0" distB="0" distL="114300" distR="114300">
            <wp:extent cx="4103370" cy="2047875"/>
            <wp:effectExtent l="0" t="0" r="11430" b="9525"/>
            <wp:docPr id="2" name="图片 2" descr="微信图片_2021071417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714170108"/>
                    <pic:cNvPicPr>
                      <a:picLocks noChangeAspect="1"/>
                    </pic:cNvPicPr>
                  </pic:nvPicPr>
                  <pic:blipFill>
                    <a:blip r:embed="rId8"/>
                    <a:srcRect t="16409" r="-360" b="12745"/>
                    <a:stretch>
                      <a:fillRect/>
                    </a:stretch>
                  </pic:blipFill>
                  <pic:spPr>
                    <a:xfrm>
                      <a:off x="0" y="0"/>
                      <a:ext cx="4103370" cy="2047875"/>
                    </a:xfrm>
                    <a:prstGeom prst="rect">
                      <a:avLst/>
                    </a:prstGeom>
                  </pic:spPr>
                </pic:pic>
              </a:graphicData>
            </a:graphic>
          </wp:inline>
        </w:drawing>
      </w:r>
    </w:p>
    <w:p>
      <w:pPr>
        <w:pStyle w:val="124"/>
      </w:pPr>
      <w:r>
        <w:rPr>
          <w:rFonts w:hint="eastAsia"/>
        </w:rPr>
        <w:t>车身</w:t>
      </w:r>
      <w:r>
        <w:rPr>
          <w:rFonts w:hint="eastAsia"/>
          <w:lang w:eastAsia="zh-CN"/>
        </w:rPr>
        <w:t>的标识位置</w:t>
      </w:r>
    </w:p>
    <w:p>
      <w:pPr>
        <w:pStyle w:val="21"/>
      </w:pPr>
    </w:p>
    <w:p>
      <w:pPr>
        <w:pStyle w:val="41"/>
      </w:pPr>
      <w:r>
        <w:rPr>
          <w:rFonts w:hint="eastAsia"/>
        </w:rPr>
        <w:t>服务点</w:t>
      </w:r>
    </w:p>
    <w:p>
      <w:pPr>
        <w:pStyle w:val="121"/>
        <w:rPr>
          <w:rFonts w:hint="eastAsia"/>
        </w:rPr>
      </w:pPr>
      <w:r>
        <w:rPr>
          <w:rFonts w:hint="eastAsia"/>
        </w:rPr>
        <w:t>布点应遵循普遍均等原则，宜位于人口集中、交通便利、车辆进出方便的区域，宜为社区、学校、乡村等提供服务。</w:t>
      </w:r>
    </w:p>
    <w:p>
      <w:pPr>
        <w:pStyle w:val="121"/>
      </w:pPr>
      <w:r>
        <w:rPr>
          <w:rFonts w:hint="eastAsia"/>
        </w:rPr>
        <w:t>服务点应做好流动书巴服务前的配合工作，为流动书巴提供合法停车位</w:t>
      </w:r>
      <w:r>
        <w:rPr>
          <w:rFonts w:hint="eastAsia"/>
          <w:lang w:eastAsia="zh-CN"/>
        </w:rPr>
        <w:t>以及</w:t>
      </w:r>
      <w:r>
        <w:rPr>
          <w:rFonts w:hint="eastAsia"/>
        </w:rPr>
        <w:t>车辆</w:t>
      </w:r>
      <w:r>
        <w:t>空调运行</w:t>
      </w:r>
      <w:r>
        <w:rPr>
          <w:rFonts w:hint="eastAsia"/>
        </w:rPr>
        <w:t>所需</w:t>
      </w:r>
      <w:r>
        <w:t>的</w:t>
      </w:r>
      <w:r>
        <w:rPr>
          <w:rFonts w:hint="eastAsia"/>
        </w:rPr>
        <w:t>220V/50Hz电源。</w:t>
      </w:r>
      <w:r>
        <w:rPr>
          <w:rFonts w:hint="eastAsia"/>
          <w:lang w:val="en-US" w:eastAsia="zh-CN"/>
        </w:rPr>
        <w:t xml:space="preserve"> </w:t>
      </w:r>
    </w:p>
    <w:p>
      <w:pPr>
        <w:pStyle w:val="121"/>
        <w:rPr>
          <w:rFonts w:hint="eastAsia"/>
        </w:rPr>
      </w:pPr>
      <w:r>
        <w:rPr>
          <w:rFonts w:hint="eastAsia"/>
        </w:rPr>
        <w:t>服务点</w:t>
      </w:r>
      <w:r>
        <w:rPr>
          <w:rFonts w:hint="eastAsia"/>
          <w:lang w:eastAsia="zh-CN"/>
        </w:rPr>
        <w:t>宜设置</w:t>
      </w:r>
      <w:r>
        <w:rPr>
          <w:rFonts w:hint="eastAsia"/>
        </w:rPr>
        <w:t>相应的指引标识。</w:t>
      </w:r>
    </w:p>
    <w:p>
      <w:pPr>
        <w:pStyle w:val="41"/>
      </w:pPr>
      <w:r>
        <w:rPr>
          <w:rFonts w:hint="eastAsia"/>
        </w:rPr>
        <w:t>人员</w:t>
      </w:r>
    </w:p>
    <w:p>
      <w:pPr>
        <w:pStyle w:val="121"/>
      </w:pPr>
      <w:r>
        <w:rPr>
          <w:rFonts w:hint="eastAsia"/>
        </w:rPr>
        <w:t>应配备1名专职司机，应持有与流动书巴匹配的机动车驾驶证。</w:t>
      </w:r>
    </w:p>
    <w:p>
      <w:pPr>
        <w:pStyle w:val="121"/>
        <w:rPr>
          <w:color w:val="auto"/>
        </w:rPr>
      </w:pPr>
      <w:r>
        <w:rPr>
          <w:rFonts w:hint="eastAsia"/>
          <w:color w:val="auto"/>
          <w:lang w:eastAsia="zh-CN"/>
        </w:rPr>
        <w:t>应</w:t>
      </w:r>
      <w:r>
        <w:rPr>
          <w:rFonts w:hint="eastAsia"/>
          <w:color w:val="auto"/>
        </w:rPr>
        <w:t>配备1名工作人员，负责图书上架、读者服务、秩序维护等。</w:t>
      </w:r>
    </w:p>
    <w:p>
      <w:pPr>
        <w:pStyle w:val="121"/>
      </w:pPr>
      <w:r>
        <w:rPr>
          <w:rFonts w:hint="eastAsia"/>
          <w:color w:val="auto"/>
        </w:rPr>
        <w:t>宜根据</w:t>
      </w:r>
      <w:r>
        <w:rPr>
          <w:rFonts w:hint="eastAsia"/>
        </w:rPr>
        <w:t>服务人群</w:t>
      </w:r>
      <w:r>
        <w:t>数量</w:t>
      </w:r>
      <w:r>
        <w:rPr>
          <w:rFonts w:hint="eastAsia"/>
        </w:rPr>
        <w:t>配备志愿者。</w:t>
      </w:r>
    </w:p>
    <w:p>
      <w:pPr>
        <w:pStyle w:val="121"/>
        <w:rPr>
          <w:rFonts w:hint="eastAsia"/>
        </w:rPr>
      </w:pPr>
      <w:r>
        <w:rPr>
          <w:rFonts w:hint="eastAsia"/>
        </w:rPr>
        <w:t>服务点应有1位</w:t>
      </w:r>
      <w:r>
        <w:rPr>
          <w:rFonts w:hint="eastAsia"/>
          <w:lang w:eastAsia="zh-CN"/>
        </w:rPr>
        <w:t>联络员</w:t>
      </w:r>
      <w:r>
        <w:rPr>
          <w:rFonts w:hint="eastAsia"/>
        </w:rPr>
        <w:t>。</w:t>
      </w:r>
    </w:p>
    <w:p>
      <w:pPr>
        <w:pStyle w:val="121"/>
      </w:pPr>
      <w:r>
        <w:rPr>
          <w:rFonts w:hint="eastAsia"/>
        </w:rPr>
        <w:t>相关人员应参加业务和安全培训，</w:t>
      </w:r>
      <w:r>
        <w:rPr>
          <w:rFonts w:hint="eastAsia"/>
          <w:lang w:eastAsia="zh-CN"/>
        </w:rPr>
        <w:t>每季度培训不少于</w:t>
      </w:r>
      <w:r>
        <w:rPr>
          <w:rFonts w:hint="eastAsia"/>
          <w:lang w:val="en-US" w:eastAsia="zh-CN"/>
        </w:rPr>
        <w:t>1次</w:t>
      </w:r>
      <w:r>
        <w:rPr>
          <w:rFonts w:hint="eastAsia"/>
        </w:rPr>
        <w:t>。</w:t>
      </w:r>
    </w:p>
    <w:p>
      <w:pPr>
        <w:pStyle w:val="41"/>
      </w:pPr>
      <w:r>
        <w:rPr>
          <w:rFonts w:hint="eastAsia"/>
        </w:rPr>
        <w:t>文献</w:t>
      </w:r>
    </w:p>
    <w:p>
      <w:pPr>
        <w:pStyle w:val="121"/>
      </w:pPr>
      <w:r>
        <w:rPr>
          <w:rFonts w:hint="eastAsia"/>
        </w:rPr>
        <w:t>图书、期刊、光盘等文献不应少于2000册，其中少儿图书不应低于总藏量的30%。</w:t>
      </w:r>
    </w:p>
    <w:p>
      <w:pPr>
        <w:pStyle w:val="121"/>
        <w:rPr>
          <w:color w:val="auto"/>
        </w:rPr>
      </w:pPr>
      <w:r>
        <w:rPr>
          <w:rFonts w:hint="eastAsia"/>
        </w:rPr>
        <w:t>文献年更新</w:t>
      </w:r>
      <w:r>
        <w:rPr>
          <w:rFonts w:hint="eastAsia"/>
          <w:color w:val="auto"/>
        </w:rPr>
        <w:t>数量不应少于总藏量的25%。</w:t>
      </w:r>
    </w:p>
    <w:p>
      <w:pPr>
        <w:pStyle w:val="121"/>
        <w:rPr>
          <w:color w:val="auto"/>
        </w:rPr>
      </w:pPr>
      <w:r>
        <w:rPr>
          <w:rFonts w:hint="eastAsia"/>
          <w:color w:val="auto"/>
          <w:lang w:eastAsia="zh-CN"/>
        </w:rPr>
        <w:t>每种</w:t>
      </w:r>
      <w:r>
        <w:rPr>
          <w:rFonts w:hint="eastAsia"/>
          <w:color w:val="auto"/>
        </w:rPr>
        <w:t>文献宜为1册。</w:t>
      </w:r>
    </w:p>
    <w:p>
      <w:pPr>
        <w:pStyle w:val="121"/>
        <w:rPr>
          <w:color w:val="auto"/>
        </w:rPr>
      </w:pPr>
      <w:r>
        <w:rPr>
          <w:rFonts w:hint="eastAsia"/>
          <w:color w:val="auto"/>
          <w:lang w:eastAsia="zh-CN"/>
        </w:rPr>
        <w:t>应通过计算机网络共享公共图书馆的数字资源，如电子图书、电子期刊、电子报纸及自建地方特色数据库等资源。</w:t>
      </w:r>
    </w:p>
    <w:p>
      <w:pPr>
        <w:pStyle w:val="41"/>
      </w:pPr>
      <w:r>
        <w:rPr>
          <w:rFonts w:hint="eastAsia"/>
        </w:rPr>
        <w:t>服务</w:t>
      </w:r>
    </w:p>
    <w:p>
      <w:pPr>
        <w:pStyle w:val="38"/>
      </w:pPr>
      <w:r>
        <w:rPr>
          <w:rFonts w:hint="eastAsia"/>
        </w:rPr>
        <w:t>服务内容</w:t>
      </w:r>
    </w:p>
    <w:p>
      <w:pPr>
        <w:pStyle w:val="121"/>
        <w:numPr>
          <w:ilvl w:val="0"/>
          <w:numId w:val="0"/>
        </w:numPr>
        <w:ind w:firstLine="420" w:firstLineChars="200"/>
      </w:pPr>
      <w:r>
        <w:rPr>
          <w:rFonts w:hint="eastAsia"/>
        </w:rPr>
        <w:t>流动书巴应纳入公共图书馆统一管理体系，实现文献通借通还，并提供：</w:t>
      </w:r>
    </w:p>
    <w:p>
      <w:pPr>
        <w:pStyle w:val="55"/>
      </w:pPr>
      <w:r>
        <w:rPr>
          <w:rFonts w:hint="eastAsia" w:hAnsi="Times New Roman" w:cs="Times New Roman"/>
          <w:b/>
        </w:rPr>
        <w:t>流通服务</w:t>
      </w:r>
      <w:r>
        <w:rPr>
          <w:rFonts w:hint="eastAsia"/>
        </w:rPr>
        <w:t>：</w:t>
      </w:r>
      <w:r>
        <w:rPr>
          <w:rFonts w:hint="eastAsia" w:hAnsi="Times New Roman" w:cs="Times New Roman"/>
        </w:rPr>
        <w:t>免费提供办证、阅览、借书、还书等服务；</w:t>
      </w:r>
    </w:p>
    <w:p>
      <w:pPr>
        <w:pStyle w:val="55"/>
      </w:pPr>
      <w:r>
        <w:rPr>
          <w:rFonts w:hint="eastAsia"/>
          <w:b/>
        </w:rPr>
        <w:t>馆藏揭示</w:t>
      </w:r>
      <w:r>
        <w:t>：</w:t>
      </w:r>
      <w:r>
        <w:rPr>
          <w:rFonts w:hint="eastAsia"/>
        </w:rPr>
        <w:t>通过网站、微信、车载海报、馆员推荐等渠道向公众推介、揭示流动书巴最新入藏的文献和特色馆藏；</w:t>
      </w:r>
    </w:p>
    <w:p>
      <w:pPr>
        <w:pStyle w:val="55"/>
      </w:pPr>
      <w:r>
        <w:rPr>
          <w:rFonts w:hint="eastAsia"/>
          <w:b/>
        </w:rPr>
        <w:t>特殊群体服务</w:t>
      </w:r>
      <w:r>
        <w:t>：</w:t>
      </w:r>
      <w:r>
        <w:rPr>
          <w:rFonts w:hint="eastAsia"/>
        </w:rPr>
        <w:t>为偏远山区等资源难以覆盖区域的人群提供多样化阅读文化服务，年均服务次数不少于3次；</w:t>
      </w:r>
      <w:r>
        <w:t xml:space="preserve"> </w:t>
      </w:r>
    </w:p>
    <w:p>
      <w:pPr>
        <w:pStyle w:val="55"/>
        <w:rPr>
          <w:color w:val="auto"/>
        </w:rPr>
      </w:pPr>
      <w:r>
        <w:rPr>
          <w:rFonts w:hint="eastAsia"/>
          <w:b/>
        </w:rPr>
        <w:t>阅读推广</w:t>
      </w:r>
      <w:r>
        <w:rPr>
          <w:rFonts w:hint="eastAsia"/>
        </w:rPr>
        <w:t>：</w:t>
      </w:r>
      <w:r>
        <w:rPr>
          <w:rFonts w:hint="eastAsia"/>
          <w:color w:val="auto"/>
        </w:rPr>
        <w:t>宜结合书巴流动的特点，将讲座、培训、展览等阅读推广资源</w:t>
      </w:r>
      <w:r>
        <w:rPr>
          <w:rFonts w:hint="eastAsia"/>
          <w:color w:val="auto"/>
          <w:lang w:eastAsia="zh-CN"/>
        </w:rPr>
        <w:t>送到</w:t>
      </w:r>
      <w:r>
        <w:rPr>
          <w:rFonts w:hint="eastAsia"/>
          <w:color w:val="auto"/>
        </w:rPr>
        <w:t>基层</w:t>
      </w:r>
      <w:r>
        <w:rPr>
          <w:rFonts w:hint="eastAsia"/>
          <w:color w:val="auto"/>
          <w:lang w:eastAsia="zh-CN"/>
        </w:rPr>
        <w:t>，开展服务</w:t>
      </w:r>
      <w:r>
        <w:rPr>
          <w:rFonts w:hint="eastAsia"/>
          <w:color w:val="auto"/>
        </w:rPr>
        <w:t>；宜结合节庆时间开展相关主题的阅读活动。</w:t>
      </w:r>
    </w:p>
    <w:p>
      <w:pPr>
        <w:pStyle w:val="38"/>
        <w:rPr>
          <w:color w:val="auto"/>
        </w:rPr>
      </w:pPr>
      <w:r>
        <w:rPr>
          <w:rFonts w:hint="eastAsia"/>
          <w:color w:val="auto"/>
        </w:rPr>
        <w:t>服务要求</w:t>
      </w:r>
    </w:p>
    <w:p>
      <w:pPr>
        <w:pStyle w:val="121"/>
        <w:numPr>
          <w:ilvl w:val="0"/>
          <w:numId w:val="0"/>
        </w:numPr>
        <w:ind w:firstLine="420" w:firstLineChars="200"/>
      </w:pPr>
      <w:r>
        <w:rPr>
          <w:rFonts w:hint="eastAsia"/>
        </w:rPr>
        <w:t>服务要求包括</w:t>
      </w:r>
      <w:r>
        <w:t>：</w:t>
      </w:r>
    </w:p>
    <w:p>
      <w:pPr>
        <w:pStyle w:val="55"/>
        <w:numPr>
          <w:ilvl w:val="0"/>
          <w:numId w:val="18"/>
        </w:numPr>
      </w:pPr>
      <w:r>
        <w:rPr>
          <w:rFonts w:hint="eastAsia"/>
        </w:rPr>
        <w:t>提前7个工作日，通过网站、微信等渠道向读者公示服务线路和服务时间；</w:t>
      </w:r>
    </w:p>
    <w:p>
      <w:pPr>
        <w:pStyle w:val="55"/>
      </w:pPr>
      <w:r>
        <w:rPr>
          <w:rFonts w:hint="eastAsia"/>
        </w:rPr>
        <w:t>临时暂停服务应第一时间向读者公告，特殊情况除外；</w:t>
      </w:r>
    </w:p>
    <w:p>
      <w:pPr>
        <w:pStyle w:val="55"/>
      </w:pPr>
      <w:r>
        <w:rPr>
          <w:rFonts w:hint="eastAsia"/>
        </w:rPr>
        <w:t>宜根据寒暑假等时间变化调整服务线路；</w:t>
      </w:r>
    </w:p>
    <w:p>
      <w:pPr>
        <w:pStyle w:val="55"/>
        <w:rPr>
          <w:color w:val="auto"/>
        </w:rPr>
      </w:pPr>
      <w:r>
        <w:rPr>
          <w:rFonts w:hint="eastAsia"/>
        </w:rPr>
        <w:t>每个服务点的服</w:t>
      </w:r>
      <w:r>
        <w:rPr>
          <w:rFonts w:hint="eastAsia"/>
          <w:color w:val="auto"/>
        </w:rPr>
        <w:t>务时间不应少于1小时，应有错时服务；</w:t>
      </w:r>
    </w:p>
    <w:p>
      <w:pPr>
        <w:pStyle w:val="55"/>
        <w:rPr>
          <w:color w:val="auto"/>
        </w:rPr>
      </w:pPr>
      <w:r>
        <w:rPr>
          <w:rFonts w:hint="eastAsia"/>
          <w:color w:val="auto"/>
        </w:rPr>
        <w:t>应按公示的服务时间准时出车，准点到达服务点开展服务；</w:t>
      </w:r>
    </w:p>
    <w:p>
      <w:pPr>
        <w:pStyle w:val="55"/>
        <w:rPr>
          <w:color w:val="auto"/>
        </w:rPr>
      </w:pPr>
      <w:r>
        <w:rPr>
          <w:rFonts w:hint="eastAsia"/>
          <w:color w:val="auto"/>
        </w:rPr>
        <w:t>应关注特殊群体享</w:t>
      </w:r>
      <w:r>
        <w:rPr>
          <w:rFonts w:hint="eastAsia"/>
          <w:color w:val="auto"/>
          <w:lang w:eastAsia="zh-CN"/>
        </w:rPr>
        <w:t>有</w:t>
      </w:r>
      <w:r>
        <w:rPr>
          <w:rFonts w:hint="eastAsia"/>
          <w:color w:val="auto"/>
        </w:rPr>
        <w:t>流动书巴服务的需求，在文献资源、服务措施等方面</w:t>
      </w:r>
      <w:r>
        <w:rPr>
          <w:rFonts w:hint="eastAsia"/>
          <w:color w:val="auto"/>
          <w:lang w:eastAsia="zh-CN"/>
        </w:rPr>
        <w:t>提供人</w:t>
      </w:r>
      <w:r>
        <w:rPr>
          <w:rFonts w:hint="eastAsia"/>
          <w:color w:val="auto"/>
        </w:rPr>
        <w:t>性化服务。</w:t>
      </w:r>
    </w:p>
    <w:p>
      <w:pPr>
        <w:pStyle w:val="41"/>
        <w:rPr>
          <w:color w:val="auto"/>
        </w:rPr>
      </w:pPr>
      <w:r>
        <w:rPr>
          <w:rFonts w:hint="eastAsia"/>
          <w:color w:val="auto"/>
        </w:rPr>
        <w:t>管理</w:t>
      </w:r>
    </w:p>
    <w:p>
      <w:pPr>
        <w:pStyle w:val="38"/>
      </w:pPr>
      <w:r>
        <w:rPr>
          <w:rFonts w:hint="eastAsia"/>
        </w:rPr>
        <w:t>车辆管理</w:t>
      </w:r>
    </w:p>
    <w:p>
      <w:pPr>
        <w:pStyle w:val="59"/>
      </w:pPr>
      <w:r>
        <w:rPr>
          <w:rFonts w:hint="eastAsia"/>
        </w:rPr>
        <w:t>车辆不应用于非图书馆业务范围内的活动。</w:t>
      </w:r>
    </w:p>
    <w:p>
      <w:pPr>
        <w:pStyle w:val="59"/>
      </w:pPr>
      <w:r>
        <w:rPr>
          <w:rFonts w:hint="eastAsia"/>
        </w:rPr>
        <w:t>应对</w:t>
      </w:r>
      <w:r>
        <w:t>4</w:t>
      </w:r>
      <w:r>
        <w:rPr>
          <w:rFonts w:hint="eastAsia"/>
        </w:rPr>
        <w:t>.</w:t>
      </w:r>
      <w:r>
        <w:t>1的</w:t>
      </w:r>
      <w:r>
        <w:rPr>
          <w:rFonts w:hint="eastAsia"/>
        </w:rPr>
        <w:t>设备进行维护，建立维护档案。</w:t>
      </w:r>
    </w:p>
    <w:p>
      <w:pPr>
        <w:pStyle w:val="38"/>
      </w:pPr>
      <w:r>
        <w:rPr>
          <w:rFonts w:hint="eastAsia"/>
        </w:rPr>
        <w:t>服务点管理</w:t>
      </w:r>
    </w:p>
    <w:p>
      <w:pPr>
        <w:pStyle w:val="59"/>
      </w:pPr>
      <w:r>
        <w:rPr>
          <w:rFonts w:hint="eastAsia"/>
        </w:rPr>
        <w:t>中心图书馆应对流动书巴服务点设置1-3个月的试运行期。</w:t>
      </w:r>
    </w:p>
    <w:p>
      <w:pPr>
        <w:pStyle w:val="59"/>
      </w:pPr>
      <w:r>
        <w:rPr>
          <w:rFonts w:hint="eastAsia"/>
        </w:rPr>
        <w:t>服务效能不达标的服务点应予以调整。</w:t>
      </w:r>
    </w:p>
    <w:p>
      <w:pPr>
        <w:pStyle w:val="38"/>
      </w:pPr>
      <w:r>
        <w:rPr>
          <w:rFonts w:hint="eastAsia"/>
        </w:rPr>
        <w:t>文献组织</w:t>
      </w:r>
    </w:p>
    <w:p>
      <w:pPr>
        <w:pStyle w:val="59"/>
      </w:pPr>
      <w:r>
        <w:rPr>
          <w:rFonts w:hint="eastAsia"/>
        </w:rPr>
        <w:t>文献应按中国图书馆分类法排架，开架借阅，保持架位整齐。</w:t>
      </w:r>
    </w:p>
    <w:p>
      <w:pPr>
        <w:pStyle w:val="59"/>
      </w:pPr>
      <w:r>
        <w:rPr>
          <w:rFonts w:hint="eastAsia"/>
        </w:rPr>
        <w:t>新书应及时上架。</w:t>
      </w:r>
    </w:p>
    <w:p>
      <w:pPr>
        <w:pStyle w:val="38"/>
      </w:pPr>
      <w:r>
        <w:rPr>
          <w:rFonts w:hint="eastAsia"/>
        </w:rPr>
        <w:t>业务统计</w:t>
      </w:r>
    </w:p>
    <w:p>
      <w:pPr>
        <w:pStyle w:val="59"/>
      </w:pPr>
      <w:r>
        <w:rPr>
          <w:rFonts w:hint="eastAsia"/>
        </w:rPr>
        <w:t>应按日、月、年定期做好流动书巴服务数据统计工作，包括服务资源、文献借阅、读者活动、汽车里程、安全检查等。</w:t>
      </w:r>
    </w:p>
    <w:p>
      <w:pPr>
        <w:pStyle w:val="59"/>
        <w:rPr>
          <w:color w:val="auto"/>
        </w:rPr>
      </w:pPr>
      <w:r>
        <w:rPr>
          <w:rFonts w:hint="eastAsia"/>
          <w:color w:val="auto"/>
        </w:rPr>
        <w:t>统计资料及工作记录应及时收集、整理，建立业务档案。</w:t>
      </w:r>
    </w:p>
    <w:p>
      <w:pPr>
        <w:pStyle w:val="38"/>
        <w:rPr>
          <w:color w:val="auto"/>
        </w:rPr>
      </w:pPr>
      <w:r>
        <w:rPr>
          <w:rFonts w:hint="eastAsia"/>
          <w:color w:val="auto"/>
        </w:rPr>
        <w:t>安全管理</w:t>
      </w:r>
    </w:p>
    <w:p>
      <w:pPr>
        <w:pStyle w:val="59"/>
        <w:rPr>
          <w:rFonts w:hint="eastAsia"/>
          <w:color w:val="auto"/>
        </w:rPr>
      </w:pPr>
      <w:r>
        <w:rPr>
          <w:rFonts w:hint="eastAsia"/>
          <w:color w:val="auto"/>
        </w:rPr>
        <w:t>中心图书馆应建立流动</w:t>
      </w:r>
      <w:r>
        <w:rPr>
          <w:rFonts w:hint="eastAsia"/>
          <w:color w:val="auto"/>
          <w:lang w:eastAsia="zh-CN"/>
        </w:rPr>
        <w:t>书巴</w:t>
      </w:r>
      <w:r>
        <w:rPr>
          <w:rFonts w:hint="eastAsia"/>
          <w:color w:val="auto"/>
        </w:rPr>
        <w:t>安全管理制度，</w:t>
      </w:r>
      <w:r>
        <w:rPr>
          <w:rFonts w:hint="eastAsia"/>
          <w:color w:val="auto"/>
        </w:rPr>
        <w:t>制定安全应急预案，</w:t>
      </w:r>
      <w:r>
        <w:rPr>
          <w:rFonts w:hint="eastAsia"/>
          <w:color w:val="auto"/>
          <w:lang w:eastAsia="zh-CN"/>
        </w:rPr>
        <w:t>投保车辆、人员相关保险，定期开展安全检查</w:t>
      </w:r>
      <w:r>
        <w:rPr>
          <w:rFonts w:hint="eastAsia"/>
          <w:color w:val="auto"/>
        </w:rPr>
        <w:t>。</w:t>
      </w:r>
    </w:p>
    <w:p>
      <w:pPr>
        <w:pStyle w:val="59"/>
        <w:rPr>
          <w:color w:val="auto"/>
        </w:rPr>
      </w:pPr>
      <w:r>
        <w:rPr>
          <w:rFonts w:hint="eastAsia"/>
          <w:color w:val="auto"/>
        </w:rPr>
        <w:t>中心图书馆应对流动书巴的图书、设施设备、器材等定期消毒。</w:t>
      </w:r>
    </w:p>
    <w:p>
      <w:pPr>
        <w:pStyle w:val="59"/>
        <w:rPr>
          <w:color w:val="auto"/>
        </w:rPr>
      </w:pPr>
      <w:r>
        <w:rPr>
          <w:rFonts w:hint="eastAsia"/>
          <w:color w:val="auto"/>
        </w:rPr>
        <w:t>根据市政府、市疾控中心有关疫情防控要求实施相应的疫情防控措施。</w:t>
      </w:r>
    </w:p>
    <w:p>
      <w:pPr>
        <w:pStyle w:val="38"/>
        <w:rPr>
          <w:color w:val="auto"/>
        </w:rPr>
      </w:pPr>
      <w:r>
        <w:rPr>
          <w:rFonts w:hint="eastAsia"/>
          <w:color w:val="auto"/>
        </w:rPr>
        <w:t>社会参与</w:t>
      </w:r>
    </w:p>
    <w:p>
      <w:pPr>
        <w:pStyle w:val="59"/>
        <w:rPr>
          <w:color w:val="auto"/>
        </w:rPr>
      </w:pPr>
      <w:r>
        <w:rPr>
          <w:rFonts w:hint="eastAsia"/>
          <w:color w:val="auto"/>
        </w:rPr>
        <w:t>中心图书馆宜采用政府购买方式，将流动书巴日常服务委托给第三方服务机构。</w:t>
      </w:r>
    </w:p>
    <w:p>
      <w:pPr>
        <w:pStyle w:val="59"/>
        <w:rPr>
          <w:color w:val="auto"/>
        </w:rPr>
      </w:pPr>
      <w:r>
        <w:rPr>
          <w:rFonts w:hint="eastAsia"/>
          <w:color w:val="auto"/>
        </w:rPr>
        <w:t>中心图书馆宜建立志愿者奖励和退出机制。</w:t>
      </w:r>
    </w:p>
    <w:p>
      <w:pPr>
        <w:pStyle w:val="41"/>
        <w:rPr>
          <w:color w:val="auto"/>
        </w:rPr>
      </w:pPr>
      <w:r>
        <w:rPr>
          <w:rFonts w:hint="eastAsia"/>
          <w:color w:val="auto"/>
        </w:rPr>
        <w:t>满意度</w:t>
      </w:r>
    </w:p>
    <w:p>
      <w:pPr>
        <w:pStyle w:val="38"/>
        <w:rPr>
          <w:color w:val="auto"/>
        </w:rPr>
      </w:pPr>
      <w:r>
        <w:rPr>
          <w:rFonts w:hint="eastAsia"/>
          <w:color w:val="auto"/>
        </w:rPr>
        <w:t>意见受理</w:t>
      </w:r>
    </w:p>
    <w:p>
      <w:pPr>
        <w:keepNext w:val="0"/>
        <w:keepLines w:val="0"/>
        <w:widowControl/>
        <w:suppressLineNumbers w:val="0"/>
        <w:jc w:val="left"/>
        <w:rPr>
          <w:color w:val="auto"/>
        </w:rPr>
      </w:pPr>
      <w:r>
        <w:rPr>
          <w:rFonts w:hint="eastAsia" w:ascii="黑体" w:hAnsi="宋体" w:eastAsia="黑体" w:cs="黑体"/>
          <w:color w:val="auto"/>
          <w:kern w:val="0"/>
          <w:sz w:val="21"/>
          <w:szCs w:val="21"/>
          <w:lang w:val="en-US" w:eastAsia="zh-CN" w:bidi="ar"/>
        </w:rPr>
        <w:t>10</w:t>
      </w:r>
      <w:r>
        <w:rPr>
          <w:rFonts w:ascii="黑体" w:hAnsi="宋体" w:eastAsia="黑体" w:cs="黑体"/>
          <w:color w:val="auto"/>
          <w:kern w:val="0"/>
          <w:sz w:val="21"/>
          <w:szCs w:val="21"/>
          <w:lang w:val="en-US" w:eastAsia="zh-CN" w:bidi="ar"/>
        </w:rPr>
        <w:t xml:space="preserve">.1.1 </w:t>
      </w:r>
      <w:r>
        <w:rPr>
          <w:rFonts w:hint="eastAsia"/>
          <w:color w:val="auto"/>
        </w:rPr>
        <w:t>应在车内显著位置</w:t>
      </w:r>
      <w:r>
        <w:rPr>
          <w:rFonts w:hint="eastAsia" w:ascii="宋体" w:hAnsi="宋体" w:eastAsia="宋体" w:cs="宋体"/>
          <w:color w:val="auto"/>
          <w:kern w:val="0"/>
          <w:sz w:val="21"/>
          <w:szCs w:val="21"/>
          <w:lang w:val="en-US" w:eastAsia="zh-CN" w:bidi="ar"/>
        </w:rPr>
        <w:t xml:space="preserve">设立读者意见箱，收集读者意见建议、图书荐购等信息。 </w:t>
      </w:r>
    </w:p>
    <w:p>
      <w:pPr>
        <w:keepNext w:val="0"/>
        <w:keepLines w:val="0"/>
        <w:widowControl/>
        <w:suppressLineNumbers w:val="0"/>
        <w:jc w:val="left"/>
        <w:rPr>
          <w:rFonts w:hint="eastAsia"/>
          <w:color w:val="auto"/>
        </w:rPr>
      </w:pPr>
      <w:r>
        <w:rPr>
          <w:rFonts w:hint="eastAsia" w:ascii="黑体" w:hAnsi="宋体" w:eastAsia="黑体" w:cs="黑体"/>
          <w:color w:val="auto"/>
          <w:kern w:val="0"/>
          <w:sz w:val="21"/>
          <w:szCs w:val="21"/>
          <w:lang w:val="en-US" w:eastAsia="zh-CN" w:bidi="ar"/>
        </w:rPr>
        <w:t>10</w:t>
      </w:r>
      <w:r>
        <w:rPr>
          <w:rFonts w:hint="default" w:ascii="黑体" w:hAnsi="宋体" w:eastAsia="黑体" w:cs="黑体"/>
          <w:color w:val="auto"/>
          <w:kern w:val="0"/>
          <w:sz w:val="21"/>
          <w:szCs w:val="21"/>
          <w:lang w:val="en-US" w:eastAsia="zh-CN" w:bidi="ar"/>
        </w:rPr>
        <w:t xml:space="preserve">.1.2 </w:t>
      </w:r>
      <w:r>
        <w:rPr>
          <w:rFonts w:hint="eastAsia" w:ascii="宋体" w:hAnsi="宋体" w:eastAsia="宋体" w:cs="宋体"/>
          <w:color w:val="auto"/>
          <w:kern w:val="0"/>
          <w:sz w:val="21"/>
          <w:szCs w:val="21"/>
          <w:lang w:val="en-US" w:eastAsia="zh-CN" w:bidi="ar"/>
        </w:rPr>
        <w:t>公开读者咨询电话号码，开设网上投诉通道，并在</w:t>
      </w:r>
      <w:r>
        <w:rPr>
          <w:rFonts w:hint="eastAsia" w:ascii="宋体" w:hAnsi="宋体" w:cs="宋体"/>
          <w:color w:val="auto"/>
          <w:kern w:val="0"/>
          <w:sz w:val="21"/>
          <w:szCs w:val="21"/>
          <w:lang w:val="en-US" w:eastAsia="zh-CN" w:bidi="ar"/>
        </w:rPr>
        <w:t>5</w:t>
      </w:r>
      <w:r>
        <w:rPr>
          <w:rFonts w:hint="eastAsia" w:ascii="宋体" w:hAnsi="宋体" w:eastAsia="宋体" w:cs="宋体"/>
          <w:color w:val="auto"/>
          <w:kern w:val="0"/>
          <w:sz w:val="21"/>
          <w:szCs w:val="21"/>
          <w:lang w:val="en-US" w:eastAsia="zh-CN" w:bidi="ar"/>
        </w:rPr>
        <w:t xml:space="preserve">个工作日内予以回复并及时整改。 </w:t>
      </w:r>
    </w:p>
    <w:p>
      <w:pPr>
        <w:pStyle w:val="21"/>
        <w:rPr>
          <w:rFonts w:hint="eastAsia"/>
          <w:color w:val="auto"/>
        </w:rPr>
      </w:pPr>
    </w:p>
    <w:p>
      <w:pPr>
        <w:pStyle w:val="38"/>
        <w:rPr>
          <w:color w:val="auto"/>
        </w:rPr>
      </w:pPr>
      <w:r>
        <w:rPr>
          <w:rFonts w:hint="eastAsia"/>
          <w:color w:val="auto"/>
        </w:rPr>
        <w:t>满意度调查</w:t>
      </w:r>
    </w:p>
    <w:p>
      <w:pPr>
        <w:pStyle w:val="59"/>
        <w:numPr>
          <w:ilvl w:val="0"/>
          <w:numId w:val="0"/>
        </w:numPr>
        <w:ind w:firstLine="420" w:firstLineChars="200"/>
      </w:pPr>
      <w:r>
        <w:rPr>
          <w:rFonts w:hint="eastAsia"/>
        </w:rPr>
        <w:t>每年通过中心图书馆</w:t>
      </w:r>
      <w:r>
        <w:t>或委托第三方</w:t>
      </w:r>
      <w:r>
        <w:rPr>
          <w:rFonts w:hint="eastAsia"/>
        </w:rPr>
        <w:t>的</w:t>
      </w:r>
      <w:r>
        <w:t>方式</w:t>
      </w:r>
      <w:r>
        <w:rPr>
          <w:rFonts w:hint="eastAsia"/>
        </w:rPr>
        <w:t>开展1次读者需求和满意度调查</w:t>
      </w:r>
      <w:r>
        <w:t>。</w:t>
      </w:r>
      <w:r>
        <w:rPr>
          <w:rFonts w:hint="eastAsia"/>
        </w:rPr>
        <w:t>调查表发放数量不应少于100份，回收率应大于80%</w:t>
      </w:r>
      <w:r>
        <w:rPr>
          <w:rFonts w:hint="eastAsia"/>
          <w:lang w:eastAsia="zh-CN"/>
        </w:rPr>
        <w:t>，</w:t>
      </w:r>
      <w:r>
        <w:rPr>
          <w:rFonts w:hint="eastAsia"/>
        </w:rPr>
        <w:t>满意度应大于85%。</w:t>
      </w:r>
    </w:p>
    <w:p>
      <w:pPr>
        <w:pStyle w:val="21"/>
      </w:pPr>
    </w:p>
    <w:p>
      <w:pPr>
        <w:pStyle w:val="21"/>
      </w:pPr>
    </w:p>
    <w:p>
      <w:pPr>
        <w:pStyle w:val="21"/>
        <w:rPr>
          <w:highlight w:val="yellow"/>
        </w:rPr>
      </w:pPr>
    </w:p>
    <w:p>
      <w:pPr>
        <w:pStyle w:val="82"/>
        <w:numPr>
          <w:ilvl w:val="0"/>
          <w:numId w:val="0"/>
        </w:numPr>
        <w:ind w:left="811" w:hanging="448"/>
        <w:jc w:val="both"/>
      </w:pPr>
    </w:p>
    <w:p>
      <w:pPr>
        <w:pStyle w:val="67"/>
      </w:pPr>
      <w:bookmarkStart w:id="34" w:name="_Toc63321445"/>
      <w:bookmarkStart w:id="35" w:name="_Toc68869520"/>
      <w:bookmarkStart w:id="36" w:name="_Toc70269695"/>
      <w:bookmarkStart w:id="37" w:name="_Toc64986948"/>
      <w:bookmarkStart w:id="38" w:name="BKCKWX"/>
      <w:bookmarkStart w:id="39" w:name="_Toc57982754"/>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34"/>
      <w:bookmarkEnd w:id="35"/>
      <w:bookmarkEnd w:id="36"/>
      <w:bookmarkEnd w:id="37"/>
      <w:bookmarkEnd w:id="38"/>
      <w:bookmarkEnd w:id="39"/>
    </w:p>
    <w:p>
      <w:pPr>
        <w:widowControl/>
        <w:ind w:firstLine="420" w:firstLineChars="200"/>
        <w:jc w:val="left"/>
        <w:rPr>
          <w:rFonts w:hint="eastAsia" w:ascii="宋体" w:hAnsi="宋体" w:cs="宋体"/>
          <w:color w:val="000000"/>
          <w:szCs w:val="21"/>
          <w:lang w:bidi="ar"/>
        </w:rPr>
      </w:pPr>
      <w:r>
        <w:rPr>
          <w:rFonts w:hint="eastAsia" w:ascii="宋体" w:hAnsi="宋体" w:cs="宋体"/>
          <w:color w:val="000000"/>
          <w:szCs w:val="21"/>
          <w:lang w:bidi="ar"/>
        </w:rPr>
        <w:t xml:space="preserve">[1] </w:t>
      </w:r>
      <w:r>
        <w:rPr>
          <w:rFonts w:hint="eastAsia" w:ascii="宋体" w:hAnsi="宋体" w:cs="宋体"/>
          <w:color w:val="000000"/>
          <w:szCs w:val="21"/>
          <w:lang w:val="en-US" w:eastAsia="zh-CN" w:bidi="ar"/>
        </w:rPr>
        <w:t>GB/T 28220</w:t>
      </w:r>
      <w:r>
        <w:rPr>
          <w:rFonts w:hint="default" w:ascii="宋体" w:hAnsi="宋体" w:cs="宋体"/>
          <w:color w:val="000000"/>
          <w:szCs w:val="21"/>
          <w:lang w:val="en-US" w:eastAsia="zh-CN" w:bidi="ar"/>
        </w:rPr>
        <w:t>—</w:t>
      </w:r>
      <w:r>
        <w:rPr>
          <w:rFonts w:hint="eastAsia" w:ascii="宋体" w:hAnsi="宋体" w:cs="宋体"/>
          <w:color w:val="000000"/>
          <w:szCs w:val="21"/>
          <w:lang w:val="en-US" w:eastAsia="zh-CN" w:bidi="ar"/>
        </w:rPr>
        <w:t xml:space="preserve">2011 公共图书馆服务规范 </w:t>
      </w:r>
    </w:p>
    <w:p>
      <w:pPr>
        <w:widowControl/>
        <w:ind w:firstLine="420" w:firstLineChars="200"/>
        <w:jc w:val="left"/>
        <w:rPr>
          <w:rFonts w:hint="eastAsia" w:ascii="宋体" w:hAnsi="宋体" w:cs="宋体"/>
          <w:color w:val="000000"/>
          <w:szCs w:val="21"/>
          <w:lang w:bidi="ar"/>
        </w:rPr>
      </w:pPr>
      <w:r>
        <w:rPr>
          <w:rFonts w:hint="eastAsia" w:ascii="宋体" w:hAnsi="宋体" w:cs="宋体"/>
          <w:color w:val="000000"/>
          <w:szCs w:val="21"/>
          <w:lang w:val="en-US" w:eastAsia="zh-CN" w:bidi="ar"/>
        </w:rPr>
        <w:t xml:space="preserve">[2] </w:t>
      </w:r>
      <w:r>
        <w:rPr>
          <w:rFonts w:hint="eastAsia" w:ascii="宋体" w:hAnsi="宋体" w:cs="宋体"/>
          <w:color w:val="000000"/>
          <w:szCs w:val="21"/>
          <w:lang w:bidi="ar"/>
        </w:rPr>
        <w:t>WH/T 76-2016</w:t>
      </w:r>
      <w:r>
        <w:rPr>
          <w:rFonts w:hint="eastAsia" w:ascii="宋体" w:hAnsi="宋体" w:cs="宋体"/>
          <w:color w:val="000000"/>
          <w:szCs w:val="21"/>
          <w:lang w:val="en-US" w:eastAsia="zh-CN" w:bidi="ar"/>
        </w:rPr>
        <w:t xml:space="preserve"> </w:t>
      </w:r>
      <w:r>
        <w:rPr>
          <w:rFonts w:hint="eastAsia" w:ascii="宋体" w:hAnsi="宋体" w:cs="宋体"/>
          <w:color w:val="000000"/>
          <w:szCs w:val="21"/>
          <w:lang w:bidi="ar"/>
        </w:rPr>
        <w:fldChar w:fldCharType="begin"/>
      </w:r>
      <w:r>
        <w:rPr>
          <w:rFonts w:hint="eastAsia" w:ascii="宋体" w:hAnsi="宋体" w:cs="宋体"/>
          <w:color w:val="000000"/>
          <w:szCs w:val="21"/>
          <w:lang w:bidi="ar"/>
        </w:rPr>
        <w:instrText xml:space="preserve"> HYPERLINK "http://www.nlc.cn/tbw/tbwbzzxd/hybz/hb27.pdf" \t "http://www.nlc.cn/tbw/_blank" </w:instrText>
      </w:r>
      <w:r>
        <w:rPr>
          <w:rFonts w:hint="eastAsia" w:ascii="宋体" w:hAnsi="宋体" w:cs="宋体"/>
          <w:color w:val="000000"/>
          <w:szCs w:val="21"/>
          <w:lang w:bidi="ar"/>
        </w:rPr>
        <w:fldChar w:fldCharType="separate"/>
      </w:r>
      <w:r>
        <w:rPr>
          <w:rFonts w:hint="eastAsia" w:ascii="宋体" w:hAnsi="宋体" w:cs="宋体"/>
          <w:color w:val="000000"/>
          <w:szCs w:val="21"/>
          <w:lang w:bidi="ar"/>
        </w:rPr>
        <w:t>流动图书车车载装置通用技术条件</w:t>
      </w:r>
      <w:r>
        <w:rPr>
          <w:rFonts w:hint="eastAsia" w:ascii="宋体" w:hAnsi="宋体" w:cs="宋体"/>
          <w:color w:val="000000"/>
          <w:szCs w:val="21"/>
          <w:lang w:bidi="ar"/>
        </w:rPr>
        <w:fldChar w:fldCharType="end"/>
      </w:r>
    </w:p>
    <w:p>
      <w:pPr>
        <w:widowControl/>
        <w:ind w:firstLine="420" w:firstLineChars="200"/>
        <w:jc w:val="left"/>
        <w:rPr>
          <w:rFonts w:hint="eastAsia" w:ascii="宋体" w:hAnsi="宋体" w:cs="宋体"/>
          <w:color w:val="000000"/>
          <w:szCs w:val="21"/>
          <w:lang w:bidi="ar"/>
        </w:rPr>
      </w:pPr>
      <w:r>
        <w:rPr>
          <w:rFonts w:hint="eastAsia" w:ascii="宋体" w:hAnsi="宋体" w:cs="宋体"/>
          <w:color w:val="000000"/>
          <w:szCs w:val="21"/>
          <w:lang w:val="en-US" w:eastAsia="zh-CN" w:bidi="ar"/>
        </w:rPr>
        <w:t xml:space="preserve">[3] </w:t>
      </w:r>
      <w:r>
        <w:rPr>
          <w:rFonts w:hint="eastAsia" w:ascii="宋体" w:hAnsi="宋体" w:cs="宋体"/>
          <w:color w:val="000000"/>
          <w:szCs w:val="21"/>
          <w:lang w:bidi="ar"/>
        </w:rPr>
        <w:t>DB33/T 2011—2016 公共图书馆服务规范</w:t>
      </w:r>
    </w:p>
    <w:p>
      <w:pPr>
        <w:widowControl/>
        <w:ind w:firstLine="420" w:firstLineChars="200"/>
        <w:jc w:val="left"/>
        <w:rPr>
          <w:rFonts w:hAnsi="宋体" w:cs="宋体"/>
          <w:szCs w:val="21"/>
        </w:rPr>
      </w:pPr>
      <w:r>
        <w:rPr>
          <w:rFonts w:hint="eastAsia" w:ascii="宋体" w:hAnsi="宋体" w:cs="宋体"/>
          <w:color w:val="000000"/>
          <w:szCs w:val="21"/>
          <w:lang w:bidi="ar"/>
        </w:rPr>
        <w:t>[</w:t>
      </w:r>
      <w:r>
        <w:rPr>
          <w:rFonts w:hint="eastAsia" w:ascii="宋体" w:hAnsi="宋体" w:cs="宋体"/>
          <w:color w:val="000000"/>
          <w:szCs w:val="21"/>
          <w:lang w:val="en-US" w:eastAsia="zh-CN" w:bidi="ar"/>
        </w:rPr>
        <w:t>4</w:t>
      </w:r>
      <w:r>
        <w:rPr>
          <w:rFonts w:hint="eastAsia" w:ascii="宋体" w:hAnsi="宋体" w:cs="宋体"/>
          <w:color w:val="000000"/>
          <w:szCs w:val="21"/>
          <w:lang w:bidi="ar"/>
        </w:rPr>
        <w:t>] DB33/T 2181—2019 城市书房服务规范</w:t>
      </w:r>
    </w:p>
    <w:p>
      <w:pPr>
        <w:pStyle w:val="21"/>
        <w:rPr>
          <w:rFonts w:hAnsi="宋体" w:cs="宋体"/>
          <w:szCs w:val="21"/>
        </w:rPr>
      </w:pPr>
      <w:r>
        <w:rPr>
          <w:rFonts w:hint="eastAsia" w:hAnsi="宋体" w:cs="宋体"/>
          <w:szCs w:val="21"/>
        </w:rPr>
        <w:t>[</w:t>
      </w:r>
      <w:r>
        <w:rPr>
          <w:rFonts w:hint="eastAsia" w:hAnsi="宋体" w:cs="宋体"/>
          <w:szCs w:val="21"/>
          <w:lang w:val="en-US" w:eastAsia="zh-CN"/>
        </w:rPr>
        <w:t>5</w:t>
      </w:r>
      <w:r>
        <w:rPr>
          <w:rFonts w:hint="eastAsia" w:hAnsi="宋体" w:cs="宋体"/>
          <w:szCs w:val="21"/>
        </w:rPr>
        <w:t>] 《</w:t>
      </w:r>
      <w:r>
        <w:rPr>
          <w:rFonts w:hint="eastAsia" w:hAnsi="宋体" w:cs="宋体"/>
          <w:color w:val="000000"/>
          <w:szCs w:val="21"/>
          <w:lang w:bidi="ar"/>
        </w:rPr>
        <w:t>中华人民共和国公共文化服务保障法</w:t>
      </w:r>
      <w:r>
        <w:rPr>
          <w:rFonts w:hint="eastAsia" w:hAnsi="宋体" w:cs="宋体"/>
          <w:szCs w:val="21"/>
        </w:rPr>
        <w:t>》</w:t>
      </w:r>
      <w:r>
        <w:rPr>
          <w:rFonts w:hint="eastAsia" w:hAnsi="宋体" w:cs="宋体"/>
          <w:color w:val="000000"/>
          <w:szCs w:val="21"/>
          <w:lang w:bidi="ar"/>
        </w:rPr>
        <w:t>（中华人民共和国主席令 第六十号）</w:t>
      </w:r>
    </w:p>
    <w:p>
      <w:pPr>
        <w:widowControl/>
        <w:ind w:firstLine="420" w:firstLineChars="200"/>
        <w:jc w:val="left"/>
        <w:rPr>
          <w:rFonts w:ascii="宋体" w:hAnsi="宋体" w:cs="宋体"/>
          <w:szCs w:val="21"/>
        </w:rPr>
      </w:pPr>
      <w:r>
        <w:rPr>
          <w:rFonts w:hint="eastAsia" w:ascii="宋体" w:hAnsi="宋体" w:cs="宋体"/>
          <w:color w:val="000000"/>
          <w:szCs w:val="21"/>
          <w:lang w:bidi="ar"/>
        </w:rPr>
        <w:t>[</w:t>
      </w:r>
      <w:r>
        <w:rPr>
          <w:rFonts w:hint="eastAsia" w:ascii="宋体" w:hAnsi="宋体" w:cs="宋体"/>
          <w:color w:val="000000"/>
          <w:szCs w:val="21"/>
          <w:lang w:val="en-US" w:eastAsia="zh-CN" w:bidi="ar"/>
        </w:rPr>
        <w:t>6</w:t>
      </w:r>
      <w:r>
        <w:rPr>
          <w:rFonts w:hint="eastAsia" w:ascii="宋体" w:hAnsi="宋体" w:cs="宋体"/>
          <w:color w:val="000000"/>
          <w:szCs w:val="21"/>
          <w:lang w:bidi="ar"/>
        </w:rPr>
        <w:t xml:space="preserve">] 《中华人民共和国公共图书馆法》（中华人民共和国主席令 第七十九号） </w:t>
      </w:r>
    </w:p>
    <w:p>
      <w:pPr>
        <w:pStyle w:val="21"/>
        <w:rPr>
          <w:rFonts w:hint="eastAsia" w:hAnsi="宋体" w:cs="宋体"/>
          <w:szCs w:val="21"/>
        </w:rPr>
      </w:pPr>
      <w:r>
        <w:rPr>
          <w:rFonts w:hint="eastAsia" w:hAnsi="宋体" w:cs="宋体"/>
          <w:szCs w:val="21"/>
        </w:rPr>
        <w:t>[</w:t>
      </w:r>
      <w:r>
        <w:rPr>
          <w:rFonts w:hint="eastAsia" w:hAnsi="宋体" w:cs="宋体"/>
          <w:szCs w:val="21"/>
          <w:lang w:val="en-US" w:eastAsia="zh-CN"/>
        </w:rPr>
        <w:t>7</w:t>
      </w:r>
      <w:r>
        <w:rPr>
          <w:rFonts w:hint="eastAsia" w:hAnsi="宋体" w:cs="宋体"/>
          <w:szCs w:val="21"/>
        </w:rPr>
        <w:t>] 《关于加强流动文化服务工作的意见》（文公共发[2014]21号）</w:t>
      </w:r>
    </w:p>
    <w:p>
      <w:pPr>
        <w:pStyle w:val="21"/>
        <w:rPr>
          <w:rFonts w:hint="eastAsia" w:hAnsi="宋体" w:cs="宋体"/>
          <w:szCs w:val="21"/>
        </w:rPr>
      </w:pPr>
      <w:r>
        <w:rPr>
          <w:rFonts w:hint="eastAsia" w:hAnsi="宋体" w:cs="宋体"/>
          <w:szCs w:val="21"/>
        </w:rPr>
        <w:t>[</w:t>
      </w:r>
      <w:r>
        <w:rPr>
          <w:rFonts w:hint="eastAsia" w:hAnsi="宋体" w:cs="宋体"/>
          <w:szCs w:val="21"/>
          <w:lang w:val="en-US" w:eastAsia="zh-CN"/>
        </w:rPr>
        <w:t>8</w:t>
      </w:r>
      <w:r>
        <w:rPr>
          <w:rFonts w:hint="eastAsia" w:hAnsi="宋体" w:cs="宋体"/>
          <w:szCs w:val="21"/>
        </w:rPr>
        <w:t>] 《中国图书馆分类法》（</w:t>
      </w:r>
      <w:r>
        <w:rPr>
          <w:rFonts w:hint="eastAsia" w:hAnsi="宋体" w:cs="宋体"/>
          <w:szCs w:val="21"/>
          <w:lang w:eastAsia="zh-CN"/>
        </w:rPr>
        <w:t>第五版</w:t>
      </w:r>
      <w:r>
        <w:rPr>
          <w:rFonts w:hint="eastAsia" w:hAnsi="宋体" w:cs="宋体"/>
          <w:szCs w:val="21"/>
        </w:rPr>
        <w:t>）</w:t>
      </w:r>
    </w:p>
    <w:p>
      <w:pPr>
        <w:pStyle w:val="21"/>
        <w:rPr>
          <w:rFonts w:asciiTheme="majorEastAsia" w:hAnsiTheme="majorEastAsia" w:eastAsiaTheme="majorEastAsia"/>
        </w:rPr>
      </w:pPr>
    </w:p>
    <w:p>
      <w:pPr>
        <w:pStyle w:val="21"/>
        <w:rPr>
          <w:rFonts w:ascii="Times New Roman"/>
        </w:rPr>
      </w:pPr>
    </w:p>
    <w:p>
      <w:pPr>
        <w:framePr w:hSpace="181" w:vSpace="181" w:wrap="around" w:vAnchor="text" w:hAnchor="page" w:x="4141" w:y="643"/>
        <w:jc w:val="center"/>
      </w:pPr>
      <w:r>
        <w:t>_________________________________</w:t>
      </w:r>
    </w:p>
    <w:p>
      <w:pPr>
        <w:pStyle w:val="125"/>
        <w:framePr w:hSpace="0" w:vSpace="0" w:wrap="auto" w:vAnchor="margin" w:hAnchor="text" w:xAlign="left" w:yAlign="inline"/>
      </w:pPr>
    </w:p>
    <w:sectPr>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PAGE  \* MERGEFORMAT </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t>DB3303/T 031—2021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DB3303/T XXX—2021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4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2"/>
      <w:suff w:val="nothing"/>
      <w:lvlText w:val="%1.%2.%3　"/>
      <w:lvlJc w:val="left"/>
      <w:pPr>
        <w:ind w:left="0" w:firstLine="0"/>
      </w:pPr>
      <w:rPr>
        <w:rFonts w:hint="eastAsia" w:ascii="黑体" w:hAnsi="黑体" w:eastAsia="黑体" w:cs="Times New Roman"/>
        <w:b w:val="0"/>
        <w:i w:val="0"/>
        <w:sz w:val="21"/>
      </w:rPr>
    </w:lvl>
    <w:lvl w:ilvl="3" w:tentative="0">
      <w:start w:val="1"/>
      <w:numFmt w:val="decimal"/>
      <w:pStyle w:val="47"/>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4"/>
      <w:suff w:val="nothing"/>
      <w:lvlText w:val="%1——"/>
      <w:lvlJc w:val="left"/>
      <w:pPr>
        <w:ind w:left="833" w:hanging="408"/>
      </w:pPr>
      <w:rPr>
        <w:rFonts w:hint="eastAsia"/>
        <w:lang w:val="en-US"/>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3FAF67B8"/>
    <w:multiLevelType w:val="multilevel"/>
    <w:tmpl w:val="3FAF67B8"/>
    <w:lvl w:ilvl="0" w:tentative="0">
      <w:start w:val="1"/>
      <w:numFmt w:val="lowerLetter"/>
      <w:pStyle w:val="5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0"/>
      <w:lvlText w:val="%2)"/>
      <w:lvlJc w:val="left"/>
      <w:pPr>
        <w:tabs>
          <w:tab w:val="left" w:pos="1260"/>
        </w:tabs>
        <w:ind w:left="1259" w:hanging="419"/>
      </w:pPr>
      <w:rPr>
        <w:rFonts w:hint="eastAsia"/>
      </w:rPr>
    </w:lvl>
    <w:lvl w:ilvl="2" w:tentative="0">
      <w:start w:val="1"/>
      <w:numFmt w:val="decimal"/>
      <w:pStyle w:val="5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5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2"/>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53"/>
      <w:suff w:val="nothing"/>
      <w:lvlText w:val="%1注："/>
      <w:lvlJc w:val="left"/>
      <w:pPr>
        <w:ind w:left="1356" w:hanging="363"/>
      </w:pPr>
      <w:rPr>
        <w:rFonts w:hint="eastAsia" w:ascii="黑体" w:hAnsi="Times New Roman" w:eastAsia="黑体"/>
        <w:b w:val="0"/>
        <w:i w:val="0"/>
        <w:sz w:val="18"/>
        <w:lang w:val="en-US"/>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08"/>
    <w:rsid w:val="00000244"/>
    <w:rsid w:val="0000185F"/>
    <w:rsid w:val="0000586F"/>
    <w:rsid w:val="00013D86"/>
    <w:rsid w:val="00013E02"/>
    <w:rsid w:val="0002143C"/>
    <w:rsid w:val="00022E26"/>
    <w:rsid w:val="00025A65"/>
    <w:rsid w:val="00026792"/>
    <w:rsid w:val="00026C31"/>
    <w:rsid w:val="00027280"/>
    <w:rsid w:val="00030D50"/>
    <w:rsid w:val="000320A7"/>
    <w:rsid w:val="00035925"/>
    <w:rsid w:val="00040D0B"/>
    <w:rsid w:val="0004312C"/>
    <w:rsid w:val="00045787"/>
    <w:rsid w:val="00053CED"/>
    <w:rsid w:val="00067CDF"/>
    <w:rsid w:val="00067DDF"/>
    <w:rsid w:val="0007116E"/>
    <w:rsid w:val="000736F8"/>
    <w:rsid w:val="00074FBE"/>
    <w:rsid w:val="00080150"/>
    <w:rsid w:val="000824D2"/>
    <w:rsid w:val="00083A09"/>
    <w:rsid w:val="0009005E"/>
    <w:rsid w:val="00091E2D"/>
    <w:rsid w:val="00092857"/>
    <w:rsid w:val="000937B7"/>
    <w:rsid w:val="000A20A9"/>
    <w:rsid w:val="000A3148"/>
    <w:rsid w:val="000A48B1"/>
    <w:rsid w:val="000A4BB4"/>
    <w:rsid w:val="000B28E9"/>
    <w:rsid w:val="000B3143"/>
    <w:rsid w:val="000B6E09"/>
    <w:rsid w:val="000C5BF7"/>
    <w:rsid w:val="000C6B05"/>
    <w:rsid w:val="000C6DD6"/>
    <w:rsid w:val="000C6FB4"/>
    <w:rsid w:val="000C73D4"/>
    <w:rsid w:val="000D3D4C"/>
    <w:rsid w:val="000D4F51"/>
    <w:rsid w:val="000D718B"/>
    <w:rsid w:val="000D71FA"/>
    <w:rsid w:val="000E0C46"/>
    <w:rsid w:val="000E27C8"/>
    <w:rsid w:val="000E3203"/>
    <w:rsid w:val="000E55C7"/>
    <w:rsid w:val="000F030C"/>
    <w:rsid w:val="000F129C"/>
    <w:rsid w:val="00102DDD"/>
    <w:rsid w:val="001056DE"/>
    <w:rsid w:val="00110F68"/>
    <w:rsid w:val="001124C0"/>
    <w:rsid w:val="00112EEA"/>
    <w:rsid w:val="001143D3"/>
    <w:rsid w:val="00120768"/>
    <w:rsid w:val="00130562"/>
    <w:rsid w:val="00131262"/>
    <w:rsid w:val="0013175F"/>
    <w:rsid w:val="001440BD"/>
    <w:rsid w:val="001468E8"/>
    <w:rsid w:val="001512B4"/>
    <w:rsid w:val="00152FD9"/>
    <w:rsid w:val="00153251"/>
    <w:rsid w:val="00153936"/>
    <w:rsid w:val="001579FF"/>
    <w:rsid w:val="00160955"/>
    <w:rsid w:val="001616BC"/>
    <w:rsid w:val="001620A5"/>
    <w:rsid w:val="00164E08"/>
    <w:rsid w:val="00164E53"/>
    <w:rsid w:val="00165493"/>
    <w:rsid w:val="0016699D"/>
    <w:rsid w:val="00170CD8"/>
    <w:rsid w:val="001736AF"/>
    <w:rsid w:val="00175159"/>
    <w:rsid w:val="00176208"/>
    <w:rsid w:val="001762AF"/>
    <w:rsid w:val="001807A0"/>
    <w:rsid w:val="001816AA"/>
    <w:rsid w:val="0018211B"/>
    <w:rsid w:val="001840D3"/>
    <w:rsid w:val="00185E50"/>
    <w:rsid w:val="001900F8"/>
    <w:rsid w:val="00190AD5"/>
    <w:rsid w:val="00191258"/>
    <w:rsid w:val="00192680"/>
    <w:rsid w:val="00193037"/>
    <w:rsid w:val="00193A2C"/>
    <w:rsid w:val="0019685F"/>
    <w:rsid w:val="001A288E"/>
    <w:rsid w:val="001A3AE9"/>
    <w:rsid w:val="001A58E8"/>
    <w:rsid w:val="001B19DC"/>
    <w:rsid w:val="001B62AC"/>
    <w:rsid w:val="001B652D"/>
    <w:rsid w:val="001B6DC2"/>
    <w:rsid w:val="001C149C"/>
    <w:rsid w:val="001C1C0A"/>
    <w:rsid w:val="001C21AC"/>
    <w:rsid w:val="001C4421"/>
    <w:rsid w:val="001C47BA"/>
    <w:rsid w:val="001C59EA"/>
    <w:rsid w:val="001D28AF"/>
    <w:rsid w:val="001D406C"/>
    <w:rsid w:val="001D41EE"/>
    <w:rsid w:val="001D5AD6"/>
    <w:rsid w:val="001D6808"/>
    <w:rsid w:val="001D6B98"/>
    <w:rsid w:val="001E0380"/>
    <w:rsid w:val="001E13B1"/>
    <w:rsid w:val="001E2567"/>
    <w:rsid w:val="001E26FD"/>
    <w:rsid w:val="001E5C8D"/>
    <w:rsid w:val="001E66D1"/>
    <w:rsid w:val="001F0EE7"/>
    <w:rsid w:val="001F23A2"/>
    <w:rsid w:val="001F3A19"/>
    <w:rsid w:val="001F4A6D"/>
    <w:rsid w:val="001F59FB"/>
    <w:rsid w:val="001F7B13"/>
    <w:rsid w:val="00202136"/>
    <w:rsid w:val="002025FE"/>
    <w:rsid w:val="0020279D"/>
    <w:rsid w:val="00204DE0"/>
    <w:rsid w:val="0020585C"/>
    <w:rsid w:val="00206412"/>
    <w:rsid w:val="00207134"/>
    <w:rsid w:val="002117A8"/>
    <w:rsid w:val="00230C2D"/>
    <w:rsid w:val="00232AAC"/>
    <w:rsid w:val="00233DFA"/>
    <w:rsid w:val="00234258"/>
    <w:rsid w:val="00234467"/>
    <w:rsid w:val="002346EC"/>
    <w:rsid w:val="00235C4A"/>
    <w:rsid w:val="00237D8D"/>
    <w:rsid w:val="00241DA2"/>
    <w:rsid w:val="00243CC5"/>
    <w:rsid w:val="0024490A"/>
    <w:rsid w:val="00247A8F"/>
    <w:rsid w:val="00247FEE"/>
    <w:rsid w:val="002501D0"/>
    <w:rsid w:val="00250E7D"/>
    <w:rsid w:val="00254980"/>
    <w:rsid w:val="002565D5"/>
    <w:rsid w:val="00260B19"/>
    <w:rsid w:val="002622C0"/>
    <w:rsid w:val="00262EF9"/>
    <w:rsid w:val="002664D7"/>
    <w:rsid w:val="00270AF5"/>
    <w:rsid w:val="0027732F"/>
    <w:rsid w:val="002778AE"/>
    <w:rsid w:val="0028269A"/>
    <w:rsid w:val="00283590"/>
    <w:rsid w:val="002861E3"/>
    <w:rsid w:val="00286973"/>
    <w:rsid w:val="0029383B"/>
    <w:rsid w:val="00294E70"/>
    <w:rsid w:val="002A1212"/>
    <w:rsid w:val="002A1924"/>
    <w:rsid w:val="002A7420"/>
    <w:rsid w:val="002B065B"/>
    <w:rsid w:val="002B0F12"/>
    <w:rsid w:val="002B1308"/>
    <w:rsid w:val="002B30CD"/>
    <w:rsid w:val="002B398F"/>
    <w:rsid w:val="002B4554"/>
    <w:rsid w:val="002C2AC6"/>
    <w:rsid w:val="002C379A"/>
    <w:rsid w:val="002C72D8"/>
    <w:rsid w:val="002C76DD"/>
    <w:rsid w:val="002D11FA"/>
    <w:rsid w:val="002D389F"/>
    <w:rsid w:val="002E0DDF"/>
    <w:rsid w:val="002E118D"/>
    <w:rsid w:val="002E2906"/>
    <w:rsid w:val="002E5635"/>
    <w:rsid w:val="002E64C3"/>
    <w:rsid w:val="002E6A2C"/>
    <w:rsid w:val="002F1D8C"/>
    <w:rsid w:val="002F21DA"/>
    <w:rsid w:val="002F3311"/>
    <w:rsid w:val="002F7EE4"/>
    <w:rsid w:val="00301F39"/>
    <w:rsid w:val="00301F5E"/>
    <w:rsid w:val="003044C2"/>
    <w:rsid w:val="0030547C"/>
    <w:rsid w:val="00306675"/>
    <w:rsid w:val="00315F8C"/>
    <w:rsid w:val="00320758"/>
    <w:rsid w:val="00322DBD"/>
    <w:rsid w:val="00323F26"/>
    <w:rsid w:val="003248DD"/>
    <w:rsid w:val="00325926"/>
    <w:rsid w:val="00327A8A"/>
    <w:rsid w:val="003322B9"/>
    <w:rsid w:val="00334C22"/>
    <w:rsid w:val="00336610"/>
    <w:rsid w:val="00340D49"/>
    <w:rsid w:val="00343F73"/>
    <w:rsid w:val="00345060"/>
    <w:rsid w:val="003459CF"/>
    <w:rsid w:val="0035323B"/>
    <w:rsid w:val="00356D29"/>
    <w:rsid w:val="00357665"/>
    <w:rsid w:val="003608D0"/>
    <w:rsid w:val="003609D2"/>
    <w:rsid w:val="00360CC0"/>
    <w:rsid w:val="003616DB"/>
    <w:rsid w:val="003636DD"/>
    <w:rsid w:val="00363F22"/>
    <w:rsid w:val="003644B5"/>
    <w:rsid w:val="003656BC"/>
    <w:rsid w:val="00375564"/>
    <w:rsid w:val="00375C50"/>
    <w:rsid w:val="00377532"/>
    <w:rsid w:val="00380776"/>
    <w:rsid w:val="003822EF"/>
    <w:rsid w:val="00382467"/>
    <w:rsid w:val="00383191"/>
    <w:rsid w:val="00386DED"/>
    <w:rsid w:val="003912E7"/>
    <w:rsid w:val="003936F0"/>
    <w:rsid w:val="00393947"/>
    <w:rsid w:val="003979AC"/>
    <w:rsid w:val="003A2275"/>
    <w:rsid w:val="003A6A4F"/>
    <w:rsid w:val="003A7088"/>
    <w:rsid w:val="003B00DF"/>
    <w:rsid w:val="003B1275"/>
    <w:rsid w:val="003B1778"/>
    <w:rsid w:val="003B212A"/>
    <w:rsid w:val="003C11CB"/>
    <w:rsid w:val="003C2914"/>
    <w:rsid w:val="003C679C"/>
    <w:rsid w:val="003C75F3"/>
    <w:rsid w:val="003C78A3"/>
    <w:rsid w:val="003E1867"/>
    <w:rsid w:val="003E5729"/>
    <w:rsid w:val="003E5B91"/>
    <w:rsid w:val="003E6536"/>
    <w:rsid w:val="003F4EE0"/>
    <w:rsid w:val="00402153"/>
    <w:rsid w:val="00402FC1"/>
    <w:rsid w:val="004033CD"/>
    <w:rsid w:val="00403608"/>
    <w:rsid w:val="004213D5"/>
    <w:rsid w:val="00425082"/>
    <w:rsid w:val="00431DEB"/>
    <w:rsid w:val="00433058"/>
    <w:rsid w:val="0043469A"/>
    <w:rsid w:val="0044554B"/>
    <w:rsid w:val="00446B29"/>
    <w:rsid w:val="004478B7"/>
    <w:rsid w:val="0045129B"/>
    <w:rsid w:val="00453F9A"/>
    <w:rsid w:val="00455094"/>
    <w:rsid w:val="00462A31"/>
    <w:rsid w:val="00463F61"/>
    <w:rsid w:val="0046578F"/>
    <w:rsid w:val="00465F47"/>
    <w:rsid w:val="00471E91"/>
    <w:rsid w:val="00474675"/>
    <w:rsid w:val="0047470C"/>
    <w:rsid w:val="00482643"/>
    <w:rsid w:val="00486992"/>
    <w:rsid w:val="00492AD4"/>
    <w:rsid w:val="004947ED"/>
    <w:rsid w:val="00496B2A"/>
    <w:rsid w:val="004A35F9"/>
    <w:rsid w:val="004A571B"/>
    <w:rsid w:val="004B14B9"/>
    <w:rsid w:val="004B24C1"/>
    <w:rsid w:val="004B2E42"/>
    <w:rsid w:val="004B550F"/>
    <w:rsid w:val="004C292F"/>
    <w:rsid w:val="004C481D"/>
    <w:rsid w:val="004D315D"/>
    <w:rsid w:val="004D5C5D"/>
    <w:rsid w:val="004D6E95"/>
    <w:rsid w:val="004E1B17"/>
    <w:rsid w:val="004E62B4"/>
    <w:rsid w:val="004E6DE9"/>
    <w:rsid w:val="004F3BA5"/>
    <w:rsid w:val="004F4D28"/>
    <w:rsid w:val="00502B59"/>
    <w:rsid w:val="00505DDA"/>
    <w:rsid w:val="00510219"/>
    <w:rsid w:val="00510280"/>
    <w:rsid w:val="0051128F"/>
    <w:rsid w:val="00513D73"/>
    <w:rsid w:val="00514A43"/>
    <w:rsid w:val="005174E5"/>
    <w:rsid w:val="00522393"/>
    <w:rsid w:val="00522620"/>
    <w:rsid w:val="0052312F"/>
    <w:rsid w:val="00525656"/>
    <w:rsid w:val="005273E0"/>
    <w:rsid w:val="00527456"/>
    <w:rsid w:val="0053193B"/>
    <w:rsid w:val="00534C02"/>
    <w:rsid w:val="005422BD"/>
    <w:rsid w:val="0054264B"/>
    <w:rsid w:val="00543786"/>
    <w:rsid w:val="005443A2"/>
    <w:rsid w:val="005466C6"/>
    <w:rsid w:val="005533D7"/>
    <w:rsid w:val="0056238A"/>
    <w:rsid w:val="00564B50"/>
    <w:rsid w:val="00565C60"/>
    <w:rsid w:val="00567864"/>
    <w:rsid w:val="00567E6B"/>
    <w:rsid w:val="005703DE"/>
    <w:rsid w:val="00577DAB"/>
    <w:rsid w:val="005801F7"/>
    <w:rsid w:val="0058464E"/>
    <w:rsid w:val="00585EBC"/>
    <w:rsid w:val="00591DFF"/>
    <w:rsid w:val="005939B2"/>
    <w:rsid w:val="005944AC"/>
    <w:rsid w:val="00597E42"/>
    <w:rsid w:val="005A01CB"/>
    <w:rsid w:val="005A4FAE"/>
    <w:rsid w:val="005A58FF"/>
    <w:rsid w:val="005A5EAF"/>
    <w:rsid w:val="005A64C0"/>
    <w:rsid w:val="005B3C11"/>
    <w:rsid w:val="005C059C"/>
    <w:rsid w:val="005C0AF3"/>
    <w:rsid w:val="005C1C28"/>
    <w:rsid w:val="005C2461"/>
    <w:rsid w:val="005C5613"/>
    <w:rsid w:val="005C6DB5"/>
    <w:rsid w:val="005D6555"/>
    <w:rsid w:val="005D7758"/>
    <w:rsid w:val="005E19E7"/>
    <w:rsid w:val="005E1B36"/>
    <w:rsid w:val="005E2106"/>
    <w:rsid w:val="005E46E1"/>
    <w:rsid w:val="005E4B5F"/>
    <w:rsid w:val="005E4CCF"/>
    <w:rsid w:val="005E4D2D"/>
    <w:rsid w:val="005E53DC"/>
    <w:rsid w:val="005E55D0"/>
    <w:rsid w:val="005E75BD"/>
    <w:rsid w:val="005F6B21"/>
    <w:rsid w:val="00600B72"/>
    <w:rsid w:val="0060142A"/>
    <w:rsid w:val="006021C0"/>
    <w:rsid w:val="00604E77"/>
    <w:rsid w:val="00605A69"/>
    <w:rsid w:val="00607E45"/>
    <w:rsid w:val="00610E56"/>
    <w:rsid w:val="00614731"/>
    <w:rsid w:val="0061716C"/>
    <w:rsid w:val="00620C29"/>
    <w:rsid w:val="006242E2"/>
    <w:rsid w:val="006243A1"/>
    <w:rsid w:val="00624CBC"/>
    <w:rsid w:val="00630441"/>
    <w:rsid w:val="00632E56"/>
    <w:rsid w:val="00635A69"/>
    <w:rsid w:val="00635CBA"/>
    <w:rsid w:val="006412E4"/>
    <w:rsid w:val="006427AE"/>
    <w:rsid w:val="0064338B"/>
    <w:rsid w:val="00646542"/>
    <w:rsid w:val="006504F4"/>
    <w:rsid w:val="006536C6"/>
    <w:rsid w:val="006540C2"/>
    <w:rsid w:val="00654BC9"/>
    <w:rsid w:val="006552FD"/>
    <w:rsid w:val="006553C8"/>
    <w:rsid w:val="00657433"/>
    <w:rsid w:val="00663584"/>
    <w:rsid w:val="00663AF3"/>
    <w:rsid w:val="00666B6C"/>
    <w:rsid w:val="00674522"/>
    <w:rsid w:val="00680C01"/>
    <w:rsid w:val="00682682"/>
    <w:rsid w:val="00682702"/>
    <w:rsid w:val="00684831"/>
    <w:rsid w:val="00691D26"/>
    <w:rsid w:val="00692368"/>
    <w:rsid w:val="006A2EBC"/>
    <w:rsid w:val="006A5EA0"/>
    <w:rsid w:val="006A783B"/>
    <w:rsid w:val="006A7B33"/>
    <w:rsid w:val="006B29F3"/>
    <w:rsid w:val="006B3C8A"/>
    <w:rsid w:val="006B4E13"/>
    <w:rsid w:val="006B75DD"/>
    <w:rsid w:val="006C67E0"/>
    <w:rsid w:val="006C7ABA"/>
    <w:rsid w:val="006D02F3"/>
    <w:rsid w:val="006D0A63"/>
    <w:rsid w:val="006D0D60"/>
    <w:rsid w:val="006D1122"/>
    <w:rsid w:val="006D1522"/>
    <w:rsid w:val="006D1E67"/>
    <w:rsid w:val="006D24A9"/>
    <w:rsid w:val="006D3C00"/>
    <w:rsid w:val="006D4959"/>
    <w:rsid w:val="006D716D"/>
    <w:rsid w:val="006E170A"/>
    <w:rsid w:val="006E3675"/>
    <w:rsid w:val="006E3BB2"/>
    <w:rsid w:val="006E4A7F"/>
    <w:rsid w:val="006E5864"/>
    <w:rsid w:val="006F7441"/>
    <w:rsid w:val="00702030"/>
    <w:rsid w:val="00704DF6"/>
    <w:rsid w:val="0070651C"/>
    <w:rsid w:val="00706C43"/>
    <w:rsid w:val="007132A3"/>
    <w:rsid w:val="00716421"/>
    <w:rsid w:val="00724EFB"/>
    <w:rsid w:val="007321C1"/>
    <w:rsid w:val="00733390"/>
    <w:rsid w:val="007419C3"/>
    <w:rsid w:val="007457DF"/>
    <w:rsid w:val="007467A7"/>
    <w:rsid w:val="007469DD"/>
    <w:rsid w:val="0074741B"/>
    <w:rsid w:val="0074759E"/>
    <w:rsid w:val="00747652"/>
    <w:rsid w:val="007478EA"/>
    <w:rsid w:val="0075415C"/>
    <w:rsid w:val="007546F3"/>
    <w:rsid w:val="00755643"/>
    <w:rsid w:val="00763502"/>
    <w:rsid w:val="00767D0A"/>
    <w:rsid w:val="0077061E"/>
    <w:rsid w:val="007724F7"/>
    <w:rsid w:val="007913AB"/>
    <w:rsid w:val="007914F7"/>
    <w:rsid w:val="00791EF2"/>
    <w:rsid w:val="007929AE"/>
    <w:rsid w:val="00794056"/>
    <w:rsid w:val="007950EF"/>
    <w:rsid w:val="00797168"/>
    <w:rsid w:val="007971D4"/>
    <w:rsid w:val="00797806"/>
    <w:rsid w:val="007A29FB"/>
    <w:rsid w:val="007A3C8D"/>
    <w:rsid w:val="007A521A"/>
    <w:rsid w:val="007B0BBB"/>
    <w:rsid w:val="007B1625"/>
    <w:rsid w:val="007B34E5"/>
    <w:rsid w:val="007B706E"/>
    <w:rsid w:val="007B71EB"/>
    <w:rsid w:val="007C3BB1"/>
    <w:rsid w:val="007C6205"/>
    <w:rsid w:val="007C686A"/>
    <w:rsid w:val="007C728E"/>
    <w:rsid w:val="007D2C53"/>
    <w:rsid w:val="007D310B"/>
    <w:rsid w:val="007D3D60"/>
    <w:rsid w:val="007D5988"/>
    <w:rsid w:val="007D602C"/>
    <w:rsid w:val="007E00CD"/>
    <w:rsid w:val="007E1980"/>
    <w:rsid w:val="007E4B76"/>
    <w:rsid w:val="007E5EA8"/>
    <w:rsid w:val="007E5F2C"/>
    <w:rsid w:val="007F0CF1"/>
    <w:rsid w:val="007F12A5"/>
    <w:rsid w:val="007F4CF1"/>
    <w:rsid w:val="007F758D"/>
    <w:rsid w:val="007F79A1"/>
    <w:rsid w:val="007F7D52"/>
    <w:rsid w:val="008022B5"/>
    <w:rsid w:val="00803A97"/>
    <w:rsid w:val="0080654C"/>
    <w:rsid w:val="008071C6"/>
    <w:rsid w:val="00813282"/>
    <w:rsid w:val="00817278"/>
    <w:rsid w:val="00817437"/>
    <w:rsid w:val="00817A00"/>
    <w:rsid w:val="008242CB"/>
    <w:rsid w:val="00824DD5"/>
    <w:rsid w:val="00834302"/>
    <w:rsid w:val="00835DB3"/>
    <w:rsid w:val="0083617B"/>
    <w:rsid w:val="008371BD"/>
    <w:rsid w:val="00840270"/>
    <w:rsid w:val="008504A8"/>
    <w:rsid w:val="0085282E"/>
    <w:rsid w:val="00852E52"/>
    <w:rsid w:val="008553A7"/>
    <w:rsid w:val="008564B0"/>
    <w:rsid w:val="008610A3"/>
    <w:rsid w:val="00861B30"/>
    <w:rsid w:val="008621B5"/>
    <w:rsid w:val="0086246A"/>
    <w:rsid w:val="00867E01"/>
    <w:rsid w:val="0087198C"/>
    <w:rsid w:val="00872758"/>
    <w:rsid w:val="00872C1F"/>
    <w:rsid w:val="00873B42"/>
    <w:rsid w:val="00884E5F"/>
    <w:rsid w:val="008856D8"/>
    <w:rsid w:val="00887F5B"/>
    <w:rsid w:val="008906A6"/>
    <w:rsid w:val="00890E1A"/>
    <w:rsid w:val="00891672"/>
    <w:rsid w:val="00892E82"/>
    <w:rsid w:val="00895AE1"/>
    <w:rsid w:val="008A2C85"/>
    <w:rsid w:val="008A2E6B"/>
    <w:rsid w:val="008B02FE"/>
    <w:rsid w:val="008B5FEA"/>
    <w:rsid w:val="008C0BE1"/>
    <w:rsid w:val="008C1B58"/>
    <w:rsid w:val="008C39AE"/>
    <w:rsid w:val="008C590D"/>
    <w:rsid w:val="008D44C2"/>
    <w:rsid w:val="008E031B"/>
    <w:rsid w:val="008E7029"/>
    <w:rsid w:val="008E7EF6"/>
    <w:rsid w:val="008F1F98"/>
    <w:rsid w:val="008F36D7"/>
    <w:rsid w:val="008F6758"/>
    <w:rsid w:val="008F6D91"/>
    <w:rsid w:val="00900ED2"/>
    <w:rsid w:val="00901F7E"/>
    <w:rsid w:val="00902528"/>
    <w:rsid w:val="009040DD"/>
    <w:rsid w:val="00904F80"/>
    <w:rsid w:val="00905B47"/>
    <w:rsid w:val="009068D5"/>
    <w:rsid w:val="00906FC9"/>
    <w:rsid w:val="00907AB6"/>
    <w:rsid w:val="00912BEA"/>
    <w:rsid w:val="0091331C"/>
    <w:rsid w:val="009138B2"/>
    <w:rsid w:val="00917C82"/>
    <w:rsid w:val="00927253"/>
    <w:rsid w:val="009279DE"/>
    <w:rsid w:val="00930116"/>
    <w:rsid w:val="00931695"/>
    <w:rsid w:val="009333A3"/>
    <w:rsid w:val="00940917"/>
    <w:rsid w:val="00941023"/>
    <w:rsid w:val="0094212C"/>
    <w:rsid w:val="00942F68"/>
    <w:rsid w:val="00947493"/>
    <w:rsid w:val="00954290"/>
    <w:rsid w:val="00954689"/>
    <w:rsid w:val="009617C9"/>
    <w:rsid w:val="00961B1C"/>
    <w:rsid w:val="00961C93"/>
    <w:rsid w:val="00965324"/>
    <w:rsid w:val="00966C65"/>
    <w:rsid w:val="00966FFB"/>
    <w:rsid w:val="00967C15"/>
    <w:rsid w:val="0097091E"/>
    <w:rsid w:val="00973E2D"/>
    <w:rsid w:val="009760D3"/>
    <w:rsid w:val="00977132"/>
    <w:rsid w:val="00980786"/>
    <w:rsid w:val="00981A4B"/>
    <w:rsid w:val="00982501"/>
    <w:rsid w:val="0098351D"/>
    <w:rsid w:val="00985270"/>
    <w:rsid w:val="00986060"/>
    <w:rsid w:val="009877D3"/>
    <w:rsid w:val="00994E8F"/>
    <w:rsid w:val="009951DC"/>
    <w:rsid w:val="009959BB"/>
    <w:rsid w:val="00997158"/>
    <w:rsid w:val="009A3A7C"/>
    <w:rsid w:val="009A5F72"/>
    <w:rsid w:val="009A7865"/>
    <w:rsid w:val="009A7DDA"/>
    <w:rsid w:val="009B095F"/>
    <w:rsid w:val="009B23F7"/>
    <w:rsid w:val="009B2ADB"/>
    <w:rsid w:val="009B603A"/>
    <w:rsid w:val="009C2D0E"/>
    <w:rsid w:val="009C3DAC"/>
    <w:rsid w:val="009C4008"/>
    <w:rsid w:val="009C42E0"/>
    <w:rsid w:val="009C6B34"/>
    <w:rsid w:val="009C7D51"/>
    <w:rsid w:val="009D2227"/>
    <w:rsid w:val="009D470A"/>
    <w:rsid w:val="009D5362"/>
    <w:rsid w:val="009E1415"/>
    <w:rsid w:val="009E6116"/>
    <w:rsid w:val="009E6608"/>
    <w:rsid w:val="009F004D"/>
    <w:rsid w:val="009F6B74"/>
    <w:rsid w:val="00A02E43"/>
    <w:rsid w:val="00A0642B"/>
    <w:rsid w:val="00A065F9"/>
    <w:rsid w:val="00A07F34"/>
    <w:rsid w:val="00A16420"/>
    <w:rsid w:val="00A2001D"/>
    <w:rsid w:val="00A220E8"/>
    <w:rsid w:val="00A22154"/>
    <w:rsid w:val="00A24382"/>
    <w:rsid w:val="00A2512B"/>
    <w:rsid w:val="00A2536C"/>
    <w:rsid w:val="00A25555"/>
    <w:rsid w:val="00A25C38"/>
    <w:rsid w:val="00A269E2"/>
    <w:rsid w:val="00A36BBE"/>
    <w:rsid w:val="00A3798D"/>
    <w:rsid w:val="00A42C65"/>
    <w:rsid w:val="00A4307A"/>
    <w:rsid w:val="00A43FD6"/>
    <w:rsid w:val="00A47EBB"/>
    <w:rsid w:val="00A51CDD"/>
    <w:rsid w:val="00A52F88"/>
    <w:rsid w:val="00A5375E"/>
    <w:rsid w:val="00A5521E"/>
    <w:rsid w:val="00A625C1"/>
    <w:rsid w:val="00A658FA"/>
    <w:rsid w:val="00A6730D"/>
    <w:rsid w:val="00A71625"/>
    <w:rsid w:val="00A71B9B"/>
    <w:rsid w:val="00A73036"/>
    <w:rsid w:val="00A73DBE"/>
    <w:rsid w:val="00A74F18"/>
    <w:rsid w:val="00A751C7"/>
    <w:rsid w:val="00A7533B"/>
    <w:rsid w:val="00A776A0"/>
    <w:rsid w:val="00A81792"/>
    <w:rsid w:val="00A845F8"/>
    <w:rsid w:val="00A87844"/>
    <w:rsid w:val="00AA038C"/>
    <w:rsid w:val="00AA7A09"/>
    <w:rsid w:val="00AB3B50"/>
    <w:rsid w:val="00AB3E65"/>
    <w:rsid w:val="00AB5A00"/>
    <w:rsid w:val="00AB6AAC"/>
    <w:rsid w:val="00AC05B1"/>
    <w:rsid w:val="00AD356C"/>
    <w:rsid w:val="00AD60A8"/>
    <w:rsid w:val="00AE0F9E"/>
    <w:rsid w:val="00AE2914"/>
    <w:rsid w:val="00AE3BFE"/>
    <w:rsid w:val="00AE55EC"/>
    <w:rsid w:val="00AE6D15"/>
    <w:rsid w:val="00AF5152"/>
    <w:rsid w:val="00AF59BD"/>
    <w:rsid w:val="00AF7EC7"/>
    <w:rsid w:val="00B04182"/>
    <w:rsid w:val="00B07AE3"/>
    <w:rsid w:val="00B07B02"/>
    <w:rsid w:val="00B11430"/>
    <w:rsid w:val="00B205D9"/>
    <w:rsid w:val="00B20E4B"/>
    <w:rsid w:val="00B23B8D"/>
    <w:rsid w:val="00B30CAE"/>
    <w:rsid w:val="00B31C15"/>
    <w:rsid w:val="00B328DB"/>
    <w:rsid w:val="00B353EB"/>
    <w:rsid w:val="00B439C4"/>
    <w:rsid w:val="00B4535E"/>
    <w:rsid w:val="00B467A9"/>
    <w:rsid w:val="00B52A8C"/>
    <w:rsid w:val="00B54751"/>
    <w:rsid w:val="00B55EC1"/>
    <w:rsid w:val="00B572AE"/>
    <w:rsid w:val="00B636A8"/>
    <w:rsid w:val="00B665C6"/>
    <w:rsid w:val="00B805AF"/>
    <w:rsid w:val="00B869EC"/>
    <w:rsid w:val="00B87EC1"/>
    <w:rsid w:val="00B91FAF"/>
    <w:rsid w:val="00B9397A"/>
    <w:rsid w:val="00B957CD"/>
    <w:rsid w:val="00B9633D"/>
    <w:rsid w:val="00BA0064"/>
    <w:rsid w:val="00BA2EBE"/>
    <w:rsid w:val="00BA4B28"/>
    <w:rsid w:val="00BA728E"/>
    <w:rsid w:val="00BB0F28"/>
    <w:rsid w:val="00BB3B3A"/>
    <w:rsid w:val="00BB441A"/>
    <w:rsid w:val="00BB458A"/>
    <w:rsid w:val="00BB52E8"/>
    <w:rsid w:val="00BB5A20"/>
    <w:rsid w:val="00BB5BBF"/>
    <w:rsid w:val="00BC5622"/>
    <w:rsid w:val="00BD00D3"/>
    <w:rsid w:val="00BD1659"/>
    <w:rsid w:val="00BD2313"/>
    <w:rsid w:val="00BD2E52"/>
    <w:rsid w:val="00BD3AA9"/>
    <w:rsid w:val="00BD415B"/>
    <w:rsid w:val="00BD4A18"/>
    <w:rsid w:val="00BD5C01"/>
    <w:rsid w:val="00BD6DB2"/>
    <w:rsid w:val="00BE11CF"/>
    <w:rsid w:val="00BE21AB"/>
    <w:rsid w:val="00BE55CB"/>
    <w:rsid w:val="00BE63BB"/>
    <w:rsid w:val="00BF149A"/>
    <w:rsid w:val="00BF2254"/>
    <w:rsid w:val="00BF4B5C"/>
    <w:rsid w:val="00BF4E42"/>
    <w:rsid w:val="00BF50FE"/>
    <w:rsid w:val="00BF55F9"/>
    <w:rsid w:val="00BF5A1B"/>
    <w:rsid w:val="00BF617A"/>
    <w:rsid w:val="00C0379D"/>
    <w:rsid w:val="00C03931"/>
    <w:rsid w:val="00C05FB9"/>
    <w:rsid w:val="00C05FE3"/>
    <w:rsid w:val="00C12026"/>
    <w:rsid w:val="00C167D3"/>
    <w:rsid w:val="00C2136D"/>
    <w:rsid w:val="00C213D7"/>
    <w:rsid w:val="00C214EE"/>
    <w:rsid w:val="00C2314B"/>
    <w:rsid w:val="00C233A2"/>
    <w:rsid w:val="00C24971"/>
    <w:rsid w:val="00C26BE5"/>
    <w:rsid w:val="00C26E4D"/>
    <w:rsid w:val="00C277A6"/>
    <w:rsid w:val="00C27909"/>
    <w:rsid w:val="00C27B03"/>
    <w:rsid w:val="00C308F3"/>
    <w:rsid w:val="00C30EF7"/>
    <w:rsid w:val="00C314E1"/>
    <w:rsid w:val="00C34397"/>
    <w:rsid w:val="00C34F15"/>
    <w:rsid w:val="00C36418"/>
    <w:rsid w:val="00C37D62"/>
    <w:rsid w:val="00C4095D"/>
    <w:rsid w:val="00C441BA"/>
    <w:rsid w:val="00C45907"/>
    <w:rsid w:val="00C47820"/>
    <w:rsid w:val="00C53A4C"/>
    <w:rsid w:val="00C576A1"/>
    <w:rsid w:val="00C601D2"/>
    <w:rsid w:val="00C657AB"/>
    <w:rsid w:val="00C65BCC"/>
    <w:rsid w:val="00C66970"/>
    <w:rsid w:val="00C66A62"/>
    <w:rsid w:val="00C671A2"/>
    <w:rsid w:val="00C7754E"/>
    <w:rsid w:val="00C820C0"/>
    <w:rsid w:val="00C82965"/>
    <w:rsid w:val="00C86268"/>
    <w:rsid w:val="00C8691C"/>
    <w:rsid w:val="00C9185E"/>
    <w:rsid w:val="00C94A79"/>
    <w:rsid w:val="00C97FCE"/>
    <w:rsid w:val="00CA168A"/>
    <w:rsid w:val="00CA25C0"/>
    <w:rsid w:val="00CA265A"/>
    <w:rsid w:val="00CA357E"/>
    <w:rsid w:val="00CA44F9"/>
    <w:rsid w:val="00CA4A69"/>
    <w:rsid w:val="00CB1FF1"/>
    <w:rsid w:val="00CB6516"/>
    <w:rsid w:val="00CC2D54"/>
    <w:rsid w:val="00CC3A05"/>
    <w:rsid w:val="00CC3E0C"/>
    <w:rsid w:val="00CC58D3"/>
    <w:rsid w:val="00CC784D"/>
    <w:rsid w:val="00CE1D4D"/>
    <w:rsid w:val="00CE2926"/>
    <w:rsid w:val="00CE67E2"/>
    <w:rsid w:val="00CF02EC"/>
    <w:rsid w:val="00D0337B"/>
    <w:rsid w:val="00D03695"/>
    <w:rsid w:val="00D056AA"/>
    <w:rsid w:val="00D079B2"/>
    <w:rsid w:val="00D114E9"/>
    <w:rsid w:val="00D13406"/>
    <w:rsid w:val="00D1408B"/>
    <w:rsid w:val="00D1497F"/>
    <w:rsid w:val="00D21A5C"/>
    <w:rsid w:val="00D30129"/>
    <w:rsid w:val="00D3268E"/>
    <w:rsid w:val="00D429C6"/>
    <w:rsid w:val="00D47065"/>
    <w:rsid w:val="00D47748"/>
    <w:rsid w:val="00D52B88"/>
    <w:rsid w:val="00D531A4"/>
    <w:rsid w:val="00D54CC3"/>
    <w:rsid w:val="00D6041A"/>
    <w:rsid w:val="00D633EB"/>
    <w:rsid w:val="00D71F6D"/>
    <w:rsid w:val="00D723FF"/>
    <w:rsid w:val="00D75186"/>
    <w:rsid w:val="00D82289"/>
    <w:rsid w:val="00D82FF7"/>
    <w:rsid w:val="00D847FE"/>
    <w:rsid w:val="00D93F47"/>
    <w:rsid w:val="00D964EA"/>
    <w:rsid w:val="00D966D0"/>
    <w:rsid w:val="00D96E91"/>
    <w:rsid w:val="00DA0C59"/>
    <w:rsid w:val="00DA12E2"/>
    <w:rsid w:val="00DA3991"/>
    <w:rsid w:val="00DB0485"/>
    <w:rsid w:val="00DB0EC5"/>
    <w:rsid w:val="00DB15FE"/>
    <w:rsid w:val="00DB7E6C"/>
    <w:rsid w:val="00DC418A"/>
    <w:rsid w:val="00DD0390"/>
    <w:rsid w:val="00DD2577"/>
    <w:rsid w:val="00DD29F6"/>
    <w:rsid w:val="00DD2E0E"/>
    <w:rsid w:val="00DD2F51"/>
    <w:rsid w:val="00DD348D"/>
    <w:rsid w:val="00DD4A8F"/>
    <w:rsid w:val="00DD5902"/>
    <w:rsid w:val="00DD5A29"/>
    <w:rsid w:val="00DD5D9D"/>
    <w:rsid w:val="00DE35CB"/>
    <w:rsid w:val="00DE3EF5"/>
    <w:rsid w:val="00DE3FB4"/>
    <w:rsid w:val="00DE62CC"/>
    <w:rsid w:val="00DF21E9"/>
    <w:rsid w:val="00DF356B"/>
    <w:rsid w:val="00E00F14"/>
    <w:rsid w:val="00E06386"/>
    <w:rsid w:val="00E0680E"/>
    <w:rsid w:val="00E11212"/>
    <w:rsid w:val="00E113B9"/>
    <w:rsid w:val="00E14322"/>
    <w:rsid w:val="00E225E8"/>
    <w:rsid w:val="00E23E69"/>
    <w:rsid w:val="00E24EB4"/>
    <w:rsid w:val="00E27D2B"/>
    <w:rsid w:val="00E3034B"/>
    <w:rsid w:val="00E320ED"/>
    <w:rsid w:val="00E33AFB"/>
    <w:rsid w:val="00E34218"/>
    <w:rsid w:val="00E361D1"/>
    <w:rsid w:val="00E43158"/>
    <w:rsid w:val="00E46282"/>
    <w:rsid w:val="00E5216E"/>
    <w:rsid w:val="00E53275"/>
    <w:rsid w:val="00E7247E"/>
    <w:rsid w:val="00E803F8"/>
    <w:rsid w:val="00E8057D"/>
    <w:rsid w:val="00E82344"/>
    <w:rsid w:val="00E84C82"/>
    <w:rsid w:val="00E84D64"/>
    <w:rsid w:val="00E87408"/>
    <w:rsid w:val="00E914C4"/>
    <w:rsid w:val="00E934F5"/>
    <w:rsid w:val="00E9384E"/>
    <w:rsid w:val="00E94AA8"/>
    <w:rsid w:val="00E96961"/>
    <w:rsid w:val="00E97147"/>
    <w:rsid w:val="00EA1AA1"/>
    <w:rsid w:val="00EA23A4"/>
    <w:rsid w:val="00EA3C36"/>
    <w:rsid w:val="00EA6282"/>
    <w:rsid w:val="00EA63D2"/>
    <w:rsid w:val="00EA72EC"/>
    <w:rsid w:val="00EB11CB"/>
    <w:rsid w:val="00EB275A"/>
    <w:rsid w:val="00EB2F5F"/>
    <w:rsid w:val="00EB2F96"/>
    <w:rsid w:val="00EB45EB"/>
    <w:rsid w:val="00EB5DFB"/>
    <w:rsid w:val="00EB786A"/>
    <w:rsid w:val="00EC1578"/>
    <w:rsid w:val="00EC1C72"/>
    <w:rsid w:val="00EC38AE"/>
    <w:rsid w:val="00EC3CC9"/>
    <w:rsid w:val="00EC680A"/>
    <w:rsid w:val="00ED3886"/>
    <w:rsid w:val="00EE2BED"/>
    <w:rsid w:val="00EE374B"/>
    <w:rsid w:val="00EE588A"/>
    <w:rsid w:val="00EE7102"/>
    <w:rsid w:val="00EF32F4"/>
    <w:rsid w:val="00F01903"/>
    <w:rsid w:val="00F04E4B"/>
    <w:rsid w:val="00F11BB5"/>
    <w:rsid w:val="00F1417B"/>
    <w:rsid w:val="00F150BD"/>
    <w:rsid w:val="00F30383"/>
    <w:rsid w:val="00F3450F"/>
    <w:rsid w:val="00F34B99"/>
    <w:rsid w:val="00F45594"/>
    <w:rsid w:val="00F4772B"/>
    <w:rsid w:val="00F52DAB"/>
    <w:rsid w:val="00F543F0"/>
    <w:rsid w:val="00F5721D"/>
    <w:rsid w:val="00F610C8"/>
    <w:rsid w:val="00F647C4"/>
    <w:rsid w:val="00F700C0"/>
    <w:rsid w:val="00F7030D"/>
    <w:rsid w:val="00F81D29"/>
    <w:rsid w:val="00F85C3B"/>
    <w:rsid w:val="00F90DBB"/>
    <w:rsid w:val="00F91C4D"/>
    <w:rsid w:val="00F92FD9"/>
    <w:rsid w:val="00F935EE"/>
    <w:rsid w:val="00F947C0"/>
    <w:rsid w:val="00F965F2"/>
    <w:rsid w:val="00FA5037"/>
    <w:rsid w:val="00FA6684"/>
    <w:rsid w:val="00FA731E"/>
    <w:rsid w:val="00FB21E3"/>
    <w:rsid w:val="00FB2B38"/>
    <w:rsid w:val="00FB2F5E"/>
    <w:rsid w:val="00FC1067"/>
    <w:rsid w:val="00FC4BF1"/>
    <w:rsid w:val="00FC6358"/>
    <w:rsid w:val="00FD2F76"/>
    <w:rsid w:val="00FD320D"/>
    <w:rsid w:val="00FE23DE"/>
    <w:rsid w:val="00FE701A"/>
    <w:rsid w:val="00FE788E"/>
    <w:rsid w:val="00FF30A1"/>
    <w:rsid w:val="00FF46A2"/>
    <w:rsid w:val="00FF74AC"/>
    <w:rsid w:val="012B0BDB"/>
    <w:rsid w:val="024C158F"/>
    <w:rsid w:val="04DE03FA"/>
    <w:rsid w:val="0ADE3E99"/>
    <w:rsid w:val="0CBC784D"/>
    <w:rsid w:val="0D740D16"/>
    <w:rsid w:val="0F511BBF"/>
    <w:rsid w:val="13565783"/>
    <w:rsid w:val="173C484E"/>
    <w:rsid w:val="19061D17"/>
    <w:rsid w:val="19D00779"/>
    <w:rsid w:val="1EAB3407"/>
    <w:rsid w:val="1EB927A6"/>
    <w:rsid w:val="21DC63F7"/>
    <w:rsid w:val="224702F8"/>
    <w:rsid w:val="238F23BC"/>
    <w:rsid w:val="24617B79"/>
    <w:rsid w:val="25025B1E"/>
    <w:rsid w:val="254D25CB"/>
    <w:rsid w:val="263767FD"/>
    <w:rsid w:val="27F921D4"/>
    <w:rsid w:val="2B9417F8"/>
    <w:rsid w:val="2D693750"/>
    <w:rsid w:val="2E05313D"/>
    <w:rsid w:val="321C7B11"/>
    <w:rsid w:val="332C404C"/>
    <w:rsid w:val="3636039F"/>
    <w:rsid w:val="36F1571F"/>
    <w:rsid w:val="373E55B5"/>
    <w:rsid w:val="3F111960"/>
    <w:rsid w:val="3FAD18CB"/>
    <w:rsid w:val="426E0AF7"/>
    <w:rsid w:val="437B68DF"/>
    <w:rsid w:val="4AF412D9"/>
    <w:rsid w:val="4CBC0C65"/>
    <w:rsid w:val="4CBF130A"/>
    <w:rsid w:val="4FAD0015"/>
    <w:rsid w:val="58035A2E"/>
    <w:rsid w:val="58FF71A7"/>
    <w:rsid w:val="59BC02B4"/>
    <w:rsid w:val="5BD038E0"/>
    <w:rsid w:val="5E2E3A5B"/>
    <w:rsid w:val="6DAB2248"/>
    <w:rsid w:val="6E4478AD"/>
    <w:rsid w:val="710C7965"/>
    <w:rsid w:val="72DF37DF"/>
    <w:rsid w:val="75EE7E76"/>
    <w:rsid w:val="7A350D15"/>
    <w:rsid w:val="7AAA6A8B"/>
    <w:rsid w:val="7AC16A11"/>
    <w:rsid w:val="7AFF1122"/>
    <w:rsid w:val="7EF25BAA"/>
    <w:rsid w:val="7FFF4901"/>
    <w:rsid w:val="FEDFF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qFormat/>
    <w:uiPriority w:val="39"/>
    <w:pPr>
      <w:tabs>
        <w:tab w:val="right" w:leader="dot" w:pos="9241"/>
      </w:tabs>
      <w:ind w:firstLine="102"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33"/>
    <w:qFormat/>
    <w:uiPriority w:val="0"/>
    <w:rPr>
      <w:sz w:val="18"/>
      <w:szCs w:val="18"/>
    </w:r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18">
    <w:name w:val="toc 4"/>
    <w:basedOn w:val="1"/>
    <w:next w:val="1"/>
    <w:semiHidden/>
    <w:qFormat/>
    <w:uiPriority w:val="0"/>
    <w:pPr>
      <w:tabs>
        <w:tab w:val="right" w:leader="dot" w:pos="9241"/>
      </w:tabs>
      <w:ind w:firstLine="198"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endnote reference"/>
    <w:semiHidden/>
    <w:qFormat/>
    <w:uiPriority w:val="0"/>
    <w:rPr>
      <w:vertAlign w:val="superscript"/>
    </w:rPr>
  </w:style>
  <w:style w:type="character" w:styleId="33">
    <w:name w:val="page number"/>
    <w:qFormat/>
    <w:uiPriority w:val="0"/>
    <w:rPr>
      <w:rFonts w:ascii="Times New Roman" w:hAnsi="Times New Roman" w:eastAsia="宋体"/>
      <w:sz w:val="18"/>
    </w:rPr>
  </w:style>
  <w:style w:type="character" w:styleId="34">
    <w:name w:val="FollowedHyperlink"/>
    <w:qFormat/>
    <w:uiPriority w:val="0"/>
    <w:rPr>
      <w:color w:val="800080"/>
      <w:u w:val="single"/>
    </w:rPr>
  </w:style>
  <w:style w:type="character" w:styleId="35">
    <w:name w:val="Hyperlink"/>
    <w:qFormat/>
    <w:uiPriority w:val="99"/>
    <w:rPr>
      <w:color w:val="0000FF"/>
      <w:spacing w:val="0"/>
      <w:w w:val="100"/>
      <w:szCs w:val="21"/>
      <w:u w:val="single"/>
    </w:rPr>
  </w:style>
  <w:style w:type="character" w:styleId="36">
    <w:name w:val="footnote reference"/>
    <w:semiHidden/>
    <w:qFormat/>
    <w:uiPriority w:val="0"/>
    <w:rPr>
      <w:vertAlign w:val="superscript"/>
    </w:rPr>
  </w:style>
  <w:style w:type="character" w:customStyle="1" w:styleId="37">
    <w:name w:val="段 Char"/>
    <w:link w:val="21"/>
    <w:qFormat/>
    <w:uiPriority w:val="0"/>
    <w:rPr>
      <w:rFonts w:ascii="宋体"/>
      <w:sz w:val="21"/>
      <w:lang w:val="en-US" w:eastAsia="zh-CN" w:bidi="ar-SA"/>
    </w:rPr>
  </w:style>
  <w:style w:type="paragraph" w:customStyle="1" w:styleId="38">
    <w:name w:val="一级条标题"/>
    <w:next w:val="21"/>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3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1">
    <w:name w:val="章标题"/>
    <w:next w:val="21"/>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42">
    <w:name w:val="二级条标题"/>
    <w:basedOn w:val="38"/>
    <w:next w:val="21"/>
    <w:qFormat/>
    <w:uiPriority w:val="0"/>
    <w:pPr>
      <w:numPr>
        <w:ilvl w:val="2"/>
      </w:numPr>
      <w:spacing w:before="50" w:after="50"/>
      <w:outlineLvl w:val="3"/>
    </w:pPr>
  </w:style>
  <w:style w:type="paragraph" w:customStyle="1" w:styleId="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5">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6">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qFormat/>
    <w:uiPriority w:val="0"/>
    <w:pPr>
      <w:numPr>
        <w:ilvl w:val="3"/>
      </w:numPr>
      <w:outlineLvl w:val="4"/>
    </w:pPr>
  </w:style>
  <w:style w:type="paragraph" w:customStyle="1" w:styleId="48">
    <w:name w:val="示例"/>
    <w:next w:val="49"/>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数字编号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51">
    <w:name w:val="四级条标题"/>
    <w:basedOn w:val="47"/>
    <w:next w:val="21"/>
    <w:qFormat/>
    <w:uiPriority w:val="0"/>
    <w:pPr>
      <w:numPr>
        <w:ilvl w:val="4"/>
      </w:numPr>
      <w:outlineLvl w:val="5"/>
    </w:pPr>
  </w:style>
  <w:style w:type="paragraph" w:customStyle="1" w:styleId="52">
    <w:name w:val="五级条标题"/>
    <w:basedOn w:val="51"/>
    <w:next w:val="21"/>
    <w:qFormat/>
    <w:uiPriority w:val="0"/>
    <w:pPr>
      <w:numPr>
        <w:ilvl w:val="5"/>
      </w:numPr>
      <w:outlineLvl w:val="6"/>
    </w:pPr>
  </w:style>
  <w:style w:type="paragraph" w:customStyle="1" w:styleId="53">
    <w:name w:val="注："/>
    <w:next w:val="21"/>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4">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6">
    <w:name w:val="列项◆（三级）"/>
    <w:basedOn w:val="1"/>
    <w:qFormat/>
    <w:uiPriority w:val="0"/>
    <w:pPr>
      <w:numPr>
        <w:ilvl w:val="2"/>
        <w:numId w:val="3"/>
      </w:numPr>
    </w:pPr>
    <w:rPr>
      <w:rFonts w:ascii="宋体"/>
      <w:szCs w:val="21"/>
    </w:rPr>
  </w:style>
  <w:style w:type="paragraph" w:customStyle="1" w:styleId="57">
    <w:name w:val="编号列项（三级）"/>
    <w:qFormat/>
    <w:uiPriority w:val="0"/>
    <w:pPr>
      <w:numPr>
        <w:ilvl w:val="2"/>
        <w:numId w:val="5"/>
      </w:numPr>
      <w:tabs>
        <w:tab w:val="left" w:pos="840"/>
      </w:tabs>
    </w:pPr>
    <w:rPr>
      <w:rFonts w:ascii="宋体" w:hAnsi="Times New Roman" w:eastAsia="宋体" w:cs="Times New Roman"/>
      <w:sz w:val="21"/>
      <w:lang w:val="en-US" w:eastAsia="zh-CN" w:bidi="ar-SA"/>
    </w:rPr>
  </w:style>
  <w:style w:type="paragraph" w:customStyle="1" w:styleId="58">
    <w:name w:val="示例×："/>
    <w:basedOn w:val="41"/>
    <w:qFormat/>
    <w:uiPriority w:val="0"/>
    <w:pPr>
      <w:numPr>
        <w:numId w:val="8"/>
      </w:numPr>
      <w:spacing w:before="0" w:beforeLines="0" w:after="0" w:afterLines="0"/>
      <w:outlineLvl w:val="9"/>
    </w:pPr>
    <w:rPr>
      <w:rFonts w:ascii="宋体" w:eastAsia="宋体"/>
      <w:sz w:val="18"/>
      <w:szCs w:val="18"/>
    </w:rPr>
  </w:style>
  <w:style w:type="paragraph" w:customStyle="1" w:styleId="59">
    <w:name w:val="二级无"/>
    <w:basedOn w:val="42"/>
    <w:qFormat/>
    <w:uiPriority w:val="0"/>
    <w:pPr>
      <w:spacing w:before="0" w:beforeLines="0" w:after="0" w:afterLines="0"/>
    </w:pPr>
    <w:rPr>
      <w:rFonts w:ascii="宋体" w:eastAsia="宋体"/>
    </w:rPr>
  </w:style>
  <w:style w:type="paragraph" w:customStyle="1" w:styleId="60">
    <w:name w:val="注：（正文）"/>
    <w:basedOn w:val="53"/>
    <w:next w:val="21"/>
    <w:qFormat/>
    <w:uiPriority w:val="0"/>
  </w:style>
  <w:style w:type="paragraph" w:customStyle="1" w:styleId="61">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5">
    <w:name w:val="标准书眉_偶数页"/>
    <w:basedOn w:val="40"/>
    <w:next w:val="1"/>
    <w:qFormat/>
    <w:uiPriority w:val="0"/>
    <w:pPr>
      <w:jc w:val="left"/>
    </w:pPr>
  </w:style>
  <w:style w:type="paragraph" w:customStyle="1" w:styleId="66">
    <w:name w:val="标准书眉一"/>
    <w:qFormat/>
    <w:uiPriority w:val="0"/>
    <w:pPr>
      <w:jc w:val="both"/>
    </w:pPr>
    <w:rPr>
      <w:rFonts w:ascii="Times New Roman" w:hAnsi="Times New Roman" w:eastAsia="宋体" w:cs="Times New Roman"/>
      <w:lang w:val="en-US" w:eastAsia="zh-CN" w:bidi="ar-SA"/>
    </w:rPr>
  </w:style>
  <w:style w:type="paragraph" w:customStyle="1" w:styleId="67">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9">
    <w:name w:val="发布"/>
    <w:qFormat/>
    <w:uiPriority w:val="0"/>
    <w:rPr>
      <w:rFonts w:ascii="黑体" w:eastAsia="黑体"/>
      <w:spacing w:val="85"/>
      <w:w w:val="100"/>
      <w:position w:val="3"/>
      <w:sz w:val="28"/>
      <w:szCs w:val="28"/>
    </w:rPr>
  </w:style>
  <w:style w:type="paragraph" w:customStyle="1" w:styleId="70">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封面标准英文名称"/>
    <w:basedOn w:val="74"/>
    <w:qFormat/>
    <w:uiPriority w:val="0"/>
    <w:pPr>
      <w:framePr w:wrap="around"/>
      <w:spacing w:before="370" w:line="400" w:lineRule="exact"/>
    </w:pPr>
    <w:rPr>
      <w:rFonts w:ascii="Times New Roman"/>
      <w:sz w:val="28"/>
      <w:szCs w:val="28"/>
    </w:rPr>
  </w:style>
  <w:style w:type="paragraph" w:customStyle="1" w:styleId="76">
    <w:name w:val="封面一致性程度标识"/>
    <w:basedOn w:val="75"/>
    <w:qFormat/>
    <w:uiPriority w:val="0"/>
    <w:pPr>
      <w:framePr w:wrap="around"/>
      <w:spacing w:before="440"/>
    </w:pPr>
    <w:rPr>
      <w:rFonts w:ascii="宋体" w:eastAsia="宋体"/>
    </w:rPr>
  </w:style>
  <w:style w:type="paragraph" w:customStyle="1" w:styleId="77">
    <w:name w:val="封面标准文稿类别"/>
    <w:basedOn w:val="76"/>
    <w:qFormat/>
    <w:uiPriority w:val="0"/>
    <w:pPr>
      <w:framePr w:wrap="around"/>
      <w:spacing w:after="160" w:line="240" w:lineRule="auto"/>
    </w:pPr>
    <w:rPr>
      <w:sz w:val="24"/>
    </w:rPr>
  </w:style>
  <w:style w:type="paragraph" w:customStyle="1" w:styleId="78">
    <w:name w:val="封面标准文稿编辑信息"/>
    <w:basedOn w:val="77"/>
    <w:qFormat/>
    <w:uiPriority w:val="0"/>
    <w:pPr>
      <w:framePr w:wrap="around"/>
      <w:spacing w:before="180" w:line="180" w:lineRule="exact"/>
    </w:pPr>
    <w:rPr>
      <w:sz w:val="21"/>
    </w:rPr>
  </w:style>
  <w:style w:type="paragraph" w:customStyle="1" w:styleId="79">
    <w:name w:val="封面正文"/>
    <w:qFormat/>
    <w:uiPriority w:val="0"/>
    <w:pPr>
      <w:jc w:val="both"/>
    </w:pPr>
    <w:rPr>
      <w:rFonts w:ascii="Times New Roman" w:hAnsi="Times New Roman" w:eastAsia="宋体" w:cs="Times New Roman"/>
      <w:lang w:val="en-US" w:eastAsia="zh-CN" w:bidi="ar-SA"/>
    </w:rPr>
  </w:style>
  <w:style w:type="paragraph" w:customStyle="1" w:styleId="80">
    <w:name w:val="附录标识"/>
    <w:basedOn w:val="1"/>
    <w:next w:val="21"/>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21"/>
    <w:next w:val="21"/>
    <w:qFormat/>
    <w:uiPriority w:val="0"/>
    <w:pPr>
      <w:ind w:firstLine="0" w:firstLineChars="0"/>
      <w:jc w:val="center"/>
    </w:pPr>
    <w:rPr>
      <w:rFonts w:ascii="黑体" w:eastAsia="黑体"/>
    </w:rPr>
  </w:style>
  <w:style w:type="paragraph" w:customStyle="1" w:styleId="82">
    <w:name w:val="附录表标号"/>
    <w:basedOn w:val="1"/>
    <w:next w:val="21"/>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3">
    <w:name w:val="附录表标题"/>
    <w:basedOn w:val="1"/>
    <w:next w:val="21"/>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84">
    <w:name w:val="附录二级条标题"/>
    <w:basedOn w:val="1"/>
    <w:next w:val="21"/>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5">
    <w:name w:val="附录二级无"/>
    <w:basedOn w:val="84"/>
    <w:qFormat/>
    <w:uiPriority w:val="0"/>
    <w:pPr>
      <w:tabs>
        <w:tab w:val="clear" w:pos="360"/>
      </w:tabs>
      <w:spacing w:before="0" w:beforeLines="0" w:after="0" w:afterLines="0"/>
    </w:pPr>
    <w:rPr>
      <w:rFonts w:ascii="宋体" w:eastAsia="宋体"/>
      <w:szCs w:val="21"/>
    </w:rPr>
  </w:style>
  <w:style w:type="paragraph" w:customStyle="1" w:styleId="86">
    <w:name w:val="附录公式"/>
    <w:basedOn w:val="21"/>
    <w:next w:val="21"/>
    <w:link w:val="87"/>
    <w:qFormat/>
    <w:uiPriority w:val="0"/>
  </w:style>
  <w:style w:type="character" w:customStyle="1" w:styleId="87">
    <w:name w:val="附录公式 Char"/>
    <w:link w:val="86"/>
    <w:qFormat/>
    <w:uiPriority w:val="0"/>
    <w:rPr>
      <w:rFonts w:ascii="宋体"/>
      <w:sz w:val="21"/>
      <w:lang w:val="en-US" w:eastAsia="zh-CN" w:bidi="ar-SA"/>
    </w:rPr>
  </w:style>
  <w:style w:type="paragraph" w:customStyle="1" w:styleId="88">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9">
    <w:name w:val="附录三级条标题"/>
    <w:basedOn w:val="84"/>
    <w:next w:val="21"/>
    <w:qFormat/>
    <w:uiPriority w:val="0"/>
    <w:pPr>
      <w:numPr>
        <w:ilvl w:val="4"/>
      </w:numPr>
      <w:outlineLvl w:val="4"/>
    </w:pPr>
  </w:style>
  <w:style w:type="paragraph" w:customStyle="1" w:styleId="90">
    <w:name w:val="附录三级无"/>
    <w:basedOn w:val="89"/>
    <w:qFormat/>
    <w:uiPriority w:val="0"/>
    <w:pPr>
      <w:tabs>
        <w:tab w:val="clear" w:pos="360"/>
      </w:tabs>
      <w:spacing w:before="0" w:beforeLines="0" w:after="0" w:afterLines="0"/>
    </w:pPr>
    <w:rPr>
      <w:rFonts w:ascii="宋体" w:eastAsia="宋体"/>
      <w:szCs w:val="21"/>
    </w:rPr>
  </w:style>
  <w:style w:type="paragraph" w:customStyle="1" w:styleId="91">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2">
    <w:name w:val="附录四级条标题"/>
    <w:basedOn w:val="89"/>
    <w:next w:val="21"/>
    <w:qFormat/>
    <w:uiPriority w:val="0"/>
    <w:pPr>
      <w:numPr>
        <w:ilvl w:val="5"/>
      </w:numPr>
      <w:outlineLvl w:val="5"/>
    </w:pPr>
  </w:style>
  <w:style w:type="paragraph" w:customStyle="1" w:styleId="93">
    <w:name w:val="附录四级无"/>
    <w:basedOn w:val="92"/>
    <w:qFormat/>
    <w:uiPriority w:val="0"/>
    <w:pPr>
      <w:tabs>
        <w:tab w:val="clear" w:pos="360"/>
      </w:tabs>
      <w:spacing w:before="0" w:beforeLines="0" w:after="0" w:afterLines="0"/>
    </w:pPr>
    <w:rPr>
      <w:rFonts w:ascii="宋体" w:eastAsia="宋体"/>
      <w:szCs w:val="21"/>
    </w:rPr>
  </w:style>
  <w:style w:type="paragraph" w:customStyle="1" w:styleId="94">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5">
    <w:name w:val="附录图标题"/>
    <w:basedOn w:val="1"/>
    <w:next w:val="21"/>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6">
    <w:name w:val="附录五级条标题"/>
    <w:basedOn w:val="92"/>
    <w:next w:val="21"/>
    <w:qFormat/>
    <w:uiPriority w:val="0"/>
    <w:pPr>
      <w:numPr>
        <w:ilvl w:val="6"/>
      </w:numPr>
      <w:outlineLvl w:val="6"/>
    </w:pPr>
  </w:style>
  <w:style w:type="paragraph" w:customStyle="1" w:styleId="97">
    <w:name w:val="附录五级无"/>
    <w:basedOn w:val="96"/>
    <w:qFormat/>
    <w:uiPriority w:val="0"/>
    <w:pPr>
      <w:tabs>
        <w:tab w:val="clear" w:pos="360"/>
      </w:tabs>
      <w:spacing w:before="0" w:beforeLines="0" w:after="0" w:afterLines="0"/>
    </w:pPr>
    <w:rPr>
      <w:rFonts w:ascii="宋体" w:eastAsia="宋体"/>
      <w:szCs w:val="21"/>
    </w:rPr>
  </w:style>
  <w:style w:type="paragraph" w:customStyle="1" w:styleId="98">
    <w:name w:val="附录章标题"/>
    <w:next w:val="21"/>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条标题"/>
    <w:basedOn w:val="98"/>
    <w:next w:val="21"/>
    <w:qFormat/>
    <w:uiPriority w:val="0"/>
    <w:pPr>
      <w:numPr>
        <w:ilvl w:val="2"/>
      </w:numPr>
      <w:autoSpaceDN w:val="0"/>
      <w:spacing w:before="50" w:beforeLines="50" w:after="50" w:afterLines="50"/>
      <w:outlineLvl w:val="2"/>
    </w:pPr>
  </w:style>
  <w:style w:type="paragraph" w:customStyle="1" w:styleId="100">
    <w:name w:val="附录一级无"/>
    <w:basedOn w:val="99"/>
    <w:qFormat/>
    <w:uiPriority w:val="0"/>
    <w:pPr>
      <w:tabs>
        <w:tab w:val="clear" w:pos="360"/>
      </w:tabs>
      <w:spacing w:before="0" w:beforeLines="0" w:after="0" w:afterLines="0"/>
    </w:pPr>
    <w:rPr>
      <w:rFonts w:ascii="宋体" w:eastAsia="宋体"/>
      <w:szCs w:val="21"/>
    </w:rPr>
  </w:style>
  <w:style w:type="paragraph" w:customStyle="1" w:styleId="101">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5">
    <w:name w:val="其他标准标志"/>
    <w:basedOn w:val="62"/>
    <w:qFormat/>
    <w:uiPriority w:val="0"/>
    <w:pPr>
      <w:framePr w:w="6101" w:wrap="around" w:vAnchor="page" w:hAnchor="page" w:x="4673" w:y="942"/>
    </w:pPr>
    <w:rPr>
      <w:w w:val="130"/>
    </w:rPr>
  </w:style>
  <w:style w:type="paragraph" w:customStyle="1" w:styleId="10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其他发布部门"/>
    <w:basedOn w:val="70"/>
    <w:qFormat/>
    <w:uiPriority w:val="0"/>
    <w:pPr>
      <w:framePr w:wrap="around" w:y="15310"/>
      <w:spacing w:line="0" w:lineRule="atLeast"/>
    </w:pPr>
    <w:rPr>
      <w:rFonts w:ascii="黑体" w:eastAsia="黑体"/>
      <w:b w:val="0"/>
    </w:rPr>
  </w:style>
  <w:style w:type="paragraph" w:customStyle="1" w:styleId="10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9">
    <w:name w:val="三级无"/>
    <w:basedOn w:val="47"/>
    <w:qFormat/>
    <w:uiPriority w:val="0"/>
    <w:pPr>
      <w:spacing w:before="0" w:beforeLines="0" w:after="0" w:afterLines="0"/>
    </w:pPr>
    <w:rPr>
      <w:rFonts w:ascii="宋体" w:eastAsia="宋体"/>
    </w:rPr>
  </w:style>
  <w:style w:type="paragraph" w:customStyle="1" w:styleId="110">
    <w:name w:val="实施日期"/>
    <w:basedOn w:val="71"/>
    <w:qFormat/>
    <w:uiPriority w:val="0"/>
    <w:pPr>
      <w:framePr w:wrap="around" w:vAnchor="page" w:hAnchor="text"/>
      <w:jc w:val="right"/>
    </w:pPr>
  </w:style>
  <w:style w:type="paragraph" w:customStyle="1" w:styleId="111">
    <w:name w:val="示例后文字"/>
    <w:basedOn w:val="21"/>
    <w:next w:val="21"/>
    <w:qFormat/>
    <w:uiPriority w:val="0"/>
    <w:pPr>
      <w:ind w:firstLine="360"/>
    </w:pPr>
    <w:rPr>
      <w:sz w:val="18"/>
    </w:rPr>
  </w:style>
  <w:style w:type="paragraph" w:customStyle="1" w:styleId="112">
    <w:name w:val="首示例"/>
    <w:next w:val="21"/>
    <w:link w:val="113"/>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3">
    <w:name w:val="首示例 Char"/>
    <w:link w:val="112"/>
    <w:qFormat/>
    <w:uiPriority w:val="0"/>
    <w:rPr>
      <w:rFonts w:ascii="宋体" w:hAnsi="宋体"/>
      <w:kern w:val="2"/>
      <w:sz w:val="18"/>
      <w:szCs w:val="18"/>
      <w:lang w:val="en-US" w:eastAsia="zh-CN" w:bidi="ar-SA"/>
    </w:rPr>
  </w:style>
  <w:style w:type="paragraph" w:customStyle="1" w:styleId="114">
    <w:name w:val="四级无"/>
    <w:basedOn w:val="51"/>
    <w:qFormat/>
    <w:uiPriority w:val="0"/>
    <w:pPr>
      <w:spacing w:before="0" w:beforeLines="0" w:after="0" w:afterLines="0"/>
    </w:pPr>
    <w:rPr>
      <w:rFonts w:ascii="宋体" w:eastAsia="宋体"/>
    </w:rPr>
  </w:style>
  <w:style w:type="paragraph" w:customStyle="1" w:styleId="115">
    <w:name w:val="条文脚注"/>
    <w:basedOn w:val="22"/>
    <w:qFormat/>
    <w:uiPriority w:val="0"/>
    <w:pPr>
      <w:numPr>
        <w:numId w:val="0"/>
      </w:numPr>
      <w:jc w:val="both"/>
    </w:pPr>
  </w:style>
  <w:style w:type="paragraph" w:customStyle="1" w:styleId="116">
    <w:name w:val="图标脚注说明"/>
    <w:basedOn w:val="21"/>
    <w:qFormat/>
    <w:uiPriority w:val="0"/>
    <w:pPr>
      <w:ind w:left="840" w:hanging="420" w:firstLineChars="0"/>
    </w:pPr>
    <w:rPr>
      <w:sz w:val="18"/>
      <w:szCs w:val="18"/>
    </w:rPr>
  </w:style>
  <w:style w:type="paragraph" w:customStyle="1" w:styleId="117">
    <w:name w:val="图表脚注说明"/>
    <w:basedOn w:val="1"/>
    <w:qFormat/>
    <w:uiPriority w:val="0"/>
    <w:pPr>
      <w:numPr>
        <w:ilvl w:val="0"/>
        <w:numId w:val="15"/>
      </w:numPr>
    </w:pPr>
    <w:rPr>
      <w:rFonts w:ascii="宋体"/>
      <w:sz w:val="18"/>
      <w:szCs w:val="18"/>
    </w:rPr>
  </w:style>
  <w:style w:type="paragraph" w:customStyle="1" w:styleId="118">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2"/>
    <w:qFormat/>
    <w:uiPriority w:val="0"/>
    <w:pPr>
      <w:spacing w:before="0" w:beforeLines="0" w:after="0" w:afterLines="0"/>
    </w:pPr>
    <w:rPr>
      <w:rFonts w:ascii="宋体" w:eastAsia="宋体"/>
    </w:rPr>
  </w:style>
  <w:style w:type="paragraph" w:customStyle="1" w:styleId="121">
    <w:name w:val="一级无"/>
    <w:basedOn w:val="38"/>
    <w:qFormat/>
    <w:uiPriority w:val="0"/>
    <w:pPr>
      <w:spacing w:before="0" w:beforeLines="0" w:after="0" w:afterLines="0"/>
    </w:pPr>
    <w:rPr>
      <w:rFonts w:ascii="宋体" w:eastAsia="宋体"/>
    </w:rPr>
  </w:style>
  <w:style w:type="paragraph" w:customStyle="1" w:styleId="122">
    <w:name w:val="正文表标题"/>
    <w:next w:val="21"/>
    <w:qFormat/>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3">
    <w:name w:val="正文公式编号制表符"/>
    <w:basedOn w:val="21"/>
    <w:next w:val="21"/>
    <w:qFormat/>
    <w:uiPriority w:val="0"/>
    <w:pPr>
      <w:ind w:firstLine="0" w:firstLineChars="0"/>
    </w:pPr>
  </w:style>
  <w:style w:type="paragraph" w:customStyle="1" w:styleId="124">
    <w:name w:val="正文图标题"/>
    <w:next w:val="21"/>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basedOn w:val="71"/>
    <w:qFormat/>
    <w:uiPriority w:val="0"/>
    <w:pPr>
      <w:framePr w:wrap="around" w:vAnchor="page" w:hAnchor="text" w:x="1419"/>
    </w:pPr>
  </w:style>
  <w:style w:type="paragraph" w:customStyle="1" w:styleId="127">
    <w:name w:val="其他实施日期"/>
    <w:basedOn w:val="110"/>
    <w:qFormat/>
    <w:uiPriority w:val="0"/>
    <w:pPr>
      <w:framePr w:wrap="around"/>
    </w:pPr>
  </w:style>
  <w:style w:type="paragraph" w:customStyle="1" w:styleId="128">
    <w:name w:val="封面标准名称2"/>
    <w:basedOn w:val="74"/>
    <w:qFormat/>
    <w:uiPriority w:val="0"/>
    <w:pPr>
      <w:framePr w:wrap="around" w:y="4469"/>
      <w:spacing w:before="630" w:beforeLines="630"/>
    </w:pPr>
  </w:style>
  <w:style w:type="paragraph" w:customStyle="1" w:styleId="129">
    <w:name w:val="封面标准英文名称2"/>
    <w:basedOn w:val="75"/>
    <w:qFormat/>
    <w:uiPriority w:val="0"/>
    <w:pPr>
      <w:framePr w:wrap="around" w:y="4469"/>
    </w:pPr>
  </w:style>
  <w:style w:type="paragraph" w:customStyle="1" w:styleId="130">
    <w:name w:val="封面一致性程度标识2"/>
    <w:basedOn w:val="76"/>
    <w:qFormat/>
    <w:uiPriority w:val="0"/>
    <w:pPr>
      <w:framePr w:wrap="around" w:y="4469"/>
    </w:pPr>
  </w:style>
  <w:style w:type="paragraph" w:customStyle="1" w:styleId="131">
    <w:name w:val="封面标准文稿类别2"/>
    <w:basedOn w:val="77"/>
    <w:qFormat/>
    <w:uiPriority w:val="0"/>
    <w:pPr>
      <w:framePr w:wrap="around" w:y="4469"/>
    </w:pPr>
  </w:style>
  <w:style w:type="paragraph" w:customStyle="1" w:styleId="132">
    <w:name w:val="封面标准文稿编辑信息2"/>
    <w:basedOn w:val="78"/>
    <w:qFormat/>
    <w:uiPriority w:val="0"/>
    <w:pPr>
      <w:framePr w:wrap="around" w:y="4469"/>
    </w:pPr>
  </w:style>
  <w:style w:type="character" w:customStyle="1" w:styleId="133">
    <w:name w:val="批注框文本 Char"/>
    <w:link w:val="14"/>
    <w:qFormat/>
    <w:uiPriority w:val="0"/>
    <w:rPr>
      <w:kern w:val="2"/>
      <w:sz w:val="18"/>
      <w:szCs w:val="18"/>
    </w:rPr>
  </w:style>
  <w:style w:type="table" w:customStyle="1" w:styleId="134">
    <w:name w:val="网格型1"/>
    <w:basedOn w:val="2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5">
    <w:name w:val="List Paragraph"/>
    <w:basedOn w:val="1"/>
    <w:qFormat/>
    <w:uiPriority w:val="34"/>
    <w:pPr>
      <w:ind w:firstLine="420" w:firstLineChars="200"/>
    </w:pPr>
    <w:rPr>
      <w:rFonts w:asciiTheme="minorHAnsi" w:hAnsiTheme="minorHAnsi" w:eastAsiaTheme="minorEastAsia"/>
      <w:kern w:val="0"/>
      <w:sz w:val="20"/>
      <w:szCs w:val="2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412</Words>
  <Characters>2350</Characters>
  <Lines>19</Lines>
  <Paragraphs>5</Paragraphs>
  <TotalTime>237</TotalTime>
  <ScaleCrop>false</ScaleCrop>
  <LinksUpToDate>false</LinksUpToDate>
  <CharactersWithSpaces>2757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2021-07-06T08:10:00Z</dcterms:created>
  <cp:lastPrinted>2021-07-15T02:37:00Z</cp:lastPrinted>
  <dcterms:modified xsi:type="dcterms:W3CDTF">2021-07-19T06:51:16Z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82723EDB0BD049699FA2105BB2353D12</vt:lpwstr>
  </property>
</Properties>
</file>