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附件4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Cs/>
          <w:spacing w:val="-10"/>
          <w:kern w:val="0"/>
          <w:sz w:val="44"/>
          <w:szCs w:val="32"/>
        </w:rPr>
      </w:pPr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bCs/>
          <w:snapToGrid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-10"/>
          <w:kern w:val="0"/>
          <w:sz w:val="44"/>
          <w:szCs w:val="32"/>
        </w:rPr>
        <w:t>浙江省艺术系列副高级专业技术职务任职资格评审量化赋分表</w:t>
      </w:r>
      <w:bookmarkEnd w:id="0"/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（自评分：</w:t>
      </w:r>
      <w:r>
        <w:rPr>
          <w:rFonts w:hint="eastAsia" w:ascii="方正小标宋简体" w:hAnsi="仿宋_GB2312" w:eastAsia="方正小标宋简体" w:cs="仿宋_GB2312"/>
          <w:b/>
          <w:snapToGrid w:val="0"/>
          <w:sz w:val="44"/>
          <w:szCs w:val="44"/>
          <w:u w:val="single"/>
        </w:rPr>
        <w:t xml:space="preserve">   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仿宋_GB2312" w:eastAsia="方正小标宋简体" w:cs="仿宋_GB2312"/>
          <w:bCs/>
          <w:snapToGrid w:val="0"/>
          <w:sz w:val="44"/>
          <w:szCs w:val="44"/>
        </w:rPr>
        <w:t>）</w:t>
      </w:r>
    </w:p>
    <w:p/>
    <w:tbl>
      <w:tblPr>
        <w:tblStyle w:val="4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94"/>
        <w:gridCol w:w="1024"/>
        <w:gridCol w:w="693"/>
        <w:gridCol w:w="931"/>
        <w:gridCol w:w="488"/>
        <w:gridCol w:w="678"/>
        <w:gridCol w:w="2582"/>
        <w:gridCol w:w="684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评价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48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最高分值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计分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自评分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道德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（10分）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荣誉称号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（5分）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国家级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258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获劳动模范、工作先进个人、优秀共产党员、“最美”系列人物等荣誉，取最高分值1次，不累计计分。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省部级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市厅级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县处级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志愿服务（5分）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服务次数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0.5n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n为志愿服务次数。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专业技术基础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（15分）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(4分)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博士研究生（博士学位）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2582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按最高学历和学位计分。有学位无学历的，按50%计分。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硕士研究生（硕士学位）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本科（学士学位）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专业资历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（8分）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本专业工作年限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0.2n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从事艺术专业工作年限，每满1年0.2分。n为工作年限。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专业技术职务任职年限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0.5n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取得中级专业技术职务任职资格后，聘任年限，每满1年给0.5分（自由职业者以实际从事艺术专业技术工作年限计算）。n为年限。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继续教育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（3分）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近5年参加继续教育情况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0.5n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近5年继续教育每年超过90学时的部分，每10个学时得0.5分。n为10个学时的次数。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能力和业绩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（55分）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业务成果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参加大型艺术活动（展演、展览）、举办个演（个展）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全国性、国际性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12n</w:t>
            </w:r>
          </w:p>
        </w:tc>
        <w:tc>
          <w:tcPr>
            <w:tcW w:w="2582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1.合作项目以比例计分，排名第一者、第二者、第三者以5:3:2折分计。</w:t>
            </w:r>
          </w:p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2.同一作品按最高层次计分，不重复计分。n为次数。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全省性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全市性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代表性作品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大型作品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1n</w:t>
            </w:r>
          </w:p>
        </w:tc>
        <w:tc>
          <w:tcPr>
            <w:tcW w:w="258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合作项目以比例计分，排名第一者、第二者、第三者以5:3:2折分计。n为作品数。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中型作品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0.5n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能力和业绩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（55分）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作品获奖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奖项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全国性、国际性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18n</w:t>
            </w:r>
          </w:p>
        </w:tc>
        <w:tc>
          <w:tcPr>
            <w:tcW w:w="258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1.合作项目以比例计分，排名第一者、第二者、第三者以5:3:2折分计。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2.同一作品按最高层次计分，不重复计分。n为作品数。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全省性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全市性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其他综合、单项类奖项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全国性、国际性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全省性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全市性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一等奖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二等奖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三等奖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完成项目资助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国家级艺术基金资助项目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大型舞台艺术创作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6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10n</w:t>
            </w:r>
          </w:p>
        </w:tc>
        <w:tc>
          <w:tcPr>
            <w:tcW w:w="258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1.合作项目以比例计分，排名第一者、第二者、第三者以5:3:2折分计。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2.同一作品按最高层次计分，不重复计分。n为作品数。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青年艺术创作人才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其他项目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省级艺术基金资助项目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完成课题、工程、项目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国家级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1.合作项目以比例计分，排名第一者、第二者、第三者以5:3:2折分计。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2.同一项目按最高层次计分，不重复计分。n为项目数。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省部级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市厅级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县处级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（10分）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入选人才工程、专家荣誉称号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国家级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258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按入选专业人才工程最高等级计分，不重复计分，也不累计计分。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省部级</w:t>
            </w:r>
          </w:p>
        </w:tc>
        <w:tc>
          <w:tcPr>
            <w:tcW w:w="488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2582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市厅级</w:t>
            </w:r>
          </w:p>
        </w:tc>
        <w:tc>
          <w:tcPr>
            <w:tcW w:w="488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2582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县处级</w:t>
            </w:r>
          </w:p>
        </w:tc>
        <w:tc>
          <w:tcPr>
            <w:tcW w:w="488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2582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（10分）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论文发表（5分）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核心期刊</w:t>
            </w: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1.n为篇数。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2.排名为第二的，按50%计分。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艺术类公开期刊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公开期刊</w:t>
            </w:r>
          </w:p>
        </w:tc>
        <w:tc>
          <w:tcPr>
            <w:tcW w:w="48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1n</w:t>
            </w:r>
          </w:p>
        </w:tc>
        <w:tc>
          <w:tcPr>
            <w:tcW w:w="258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专业著作（作品集）出版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（5分）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专业著作（作品集）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5n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专业著作必须为正式出版物。n为部数。</w:t>
            </w:r>
          </w:p>
          <w:p>
            <w:pPr>
              <w:pStyle w:val="6"/>
              <w:numPr>
                <w:ilvl w:val="0"/>
                <w:numId w:val="1"/>
              </w:numPr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排名为第二的，按50%计分。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widowControl/>
        <w:snapToGrid w:val="0"/>
        <w:spacing w:line="4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A18BD1"/>
    <w:multiLevelType w:val="singleLevel"/>
    <w:tmpl w:val="62A18BD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51EC5FB3"/>
    <w:rsid w:val="0F411B1F"/>
    <w:rsid w:val="16C45AB7"/>
    <w:rsid w:val="51EC5FB3"/>
    <w:rsid w:val="6B8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1461</Words>
  <Characters>1580</Characters>
  <Lines>0</Lines>
  <Paragraphs>0</Paragraphs>
  <TotalTime>0</TotalTime>
  <ScaleCrop>false</ScaleCrop>
  <LinksUpToDate>false</LinksUpToDate>
  <CharactersWithSpaces>1585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2022-09-14T02:44:00Z</dcterms:created>
  <dc:creator>黄晨希</dc:creator>
  <cp:lastModifiedBy>黄晨希</cp:lastModifiedBy>
  <dcterms:modified xsi:type="dcterms:W3CDTF">2022-09-14T02:46:07Z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2EFAECD8128D40ABB78364ACA01D492A</vt:lpwstr>
  </property>
</Properties>
</file>