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exac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附件5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snapToGrid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浙江省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美术专业副高级专业技术职务任职资格</w:t>
      </w:r>
    </w:p>
    <w:p>
      <w:pPr>
        <w:spacing w:line="480" w:lineRule="exact"/>
        <w:jc w:val="center"/>
        <w:rPr>
          <w:rFonts w:ascii="方正小标宋简体" w:hAnsi="仿宋_GB2312" w:eastAsia="方正小标宋简体" w:cs="仿宋_GB2312"/>
          <w:bCs/>
          <w:snapToGrid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评价量化赋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分表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（自评分：</w:t>
      </w:r>
      <w:r>
        <w:rPr>
          <w:rFonts w:hint="eastAsia" w:ascii="方正小标宋简体" w:hAnsi="仿宋_GB2312" w:eastAsia="方正小标宋简体" w:cs="仿宋_GB2312"/>
          <w:b/>
          <w:snapToGrid w:val="0"/>
          <w:sz w:val="44"/>
          <w:szCs w:val="44"/>
          <w:u w:val="single"/>
        </w:rPr>
        <w:t xml:space="preserve">   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  <w:u w:val="single"/>
        </w:rPr>
        <w:t xml:space="preserve">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）</w:t>
      </w:r>
    </w:p>
    <w:p>
      <w:pPr>
        <w:widowControl/>
        <w:spacing w:line="500" w:lineRule="exact"/>
        <w:jc w:val="center"/>
        <w:rPr>
          <w:rFonts w:ascii="楷体" w:hAnsi="楷体" w:eastAsia="楷体" w:cs="楷体"/>
          <w:bCs/>
          <w:kern w:val="0"/>
          <w:sz w:val="36"/>
          <w:szCs w:val="36"/>
        </w:rPr>
      </w:pPr>
      <w:r>
        <w:rPr>
          <w:rFonts w:hint="eastAsia" w:ascii="楷体" w:hAnsi="楷体" w:eastAsia="楷体" w:cs="楷体"/>
          <w:bCs/>
          <w:kern w:val="0"/>
          <w:sz w:val="36"/>
          <w:szCs w:val="36"/>
        </w:rPr>
        <w:t>（</w:t>
      </w:r>
      <w:r>
        <w:rPr>
          <w:rFonts w:hint="eastAsia" w:ascii="楷体" w:hAnsi="楷体" w:eastAsia="楷体" w:cs="楷体"/>
          <w:sz w:val="36"/>
          <w:szCs w:val="36"/>
        </w:rPr>
        <w:t>美术实践</w:t>
      </w:r>
      <w:r>
        <w:rPr>
          <w:rFonts w:hint="eastAsia" w:ascii="楷体" w:hAnsi="楷体" w:eastAsia="楷体" w:cs="楷体"/>
          <w:bCs/>
          <w:kern w:val="0"/>
          <w:sz w:val="36"/>
          <w:szCs w:val="36"/>
        </w:rPr>
        <w:t>类）</w:t>
      </w:r>
    </w:p>
    <w:tbl>
      <w:tblPr>
        <w:tblStyle w:val="4"/>
        <w:tblW w:w="991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27"/>
        <w:gridCol w:w="2751"/>
        <w:gridCol w:w="516"/>
        <w:gridCol w:w="709"/>
        <w:gridCol w:w="2690"/>
        <w:gridCol w:w="712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评价指标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一级指标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二级指标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最高分值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计分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方式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自评分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职业道德（10分）</w:t>
            </w:r>
          </w:p>
        </w:tc>
        <w:tc>
          <w:tcPr>
            <w:tcW w:w="112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荣誉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称号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（5分）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516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690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获劳动模范、工作先进个人、优秀共产党员、道德楷模等荣誉，取最高分值1次，不累计计分。</w:t>
            </w:r>
          </w:p>
        </w:tc>
        <w:tc>
          <w:tcPr>
            <w:tcW w:w="712" w:type="dxa"/>
            <w:noWrap w:val="0"/>
            <w:vAlign w:val="top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noWrap w:val="0"/>
            <w:vAlign w:val="top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516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69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县处级</w:t>
            </w:r>
          </w:p>
        </w:tc>
        <w:tc>
          <w:tcPr>
            <w:tcW w:w="516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69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志愿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服务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5分）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服务次数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0.5n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n为志愿服务次数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</w:tc>
        <w:tc>
          <w:tcPr>
            <w:tcW w:w="712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专业技术基础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（15分）</w:t>
            </w:r>
          </w:p>
        </w:tc>
        <w:tc>
          <w:tcPr>
            <w:tcW w:w="112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学历学位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(4分)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（博士学位）</w:t>
            </w:r>
          </w:p>
        </w:tc>
        <w:tc>
          <w:tcPr>
            <w:tcW w:w="516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690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按最高学历和学位计分。有学位无学历的，按50%计分。</w:t>
            </w:r>
          </w:p>
        </w:tc>
        <w:tc>
          <w:tcPr>
            <w:tcW w:w="712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（硕士学位）</w:t>
            </w:r>
          </w:p>
        </w:tc>
        <w:tc>
          <w:tcPr>
            <w:tcW w:w="51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69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资历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（8分）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本专业工作年限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0.2n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从事美术专业工作年限，每满1年给0.2分,其他专业年限不给分。n为年限。</w:t>
            </w: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专业技术职务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任职年限</w:t>
            </w:r>
          </w:p>
        </w:tc>
        <w:tc>
          <w:tcPr>
            <w:tcW w:w="51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0.5n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取得中级专业技术职务任职资格后，聘任年限，每满1年给0.5分（自由职业者以实际从事美术专业技术工作年限计算）。n为年限。</w:t>
            </w: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继续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（3分）</w:t>
            </w:r>
          </w:p>
        </w:tc>
        <w:tc>
          <w:tcPr>
            <w:tcW w:w="27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近5年参加继续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教育情况</w:t>
            </w:r>
          </w:p>
        </w:tc>
        <w:tc>
          <w:tcPr>
            <w:tcW w:w="5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0.5n</w:t>
            </w:r>
          </w:p>
        </w:tc>
        <w:tc>
          <w:tcPr>
            <w:tcW w:w="26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近5年继续教育每年超过90学时的部分，每10个学时得0.5分。n为10个学时。</w:t>
            </w:r>
          </w:p>
        </w:tc>
        <w:tc>
          <w:tcPr>
            <w:tcW w:w="71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320" w:lineRule="exact"/>
        <w:jc w:val="left"/>
        <w:rPr>
          <w:rFonts w:ascii="仿宋_GB2312" w:hAnsi="宋体" w:eastAsia="仿宋_GB2312" w:cs="宋体"/>
          <w:kern w:val="0"/>
          <w:sz w:val="24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cols w:space="720" w:num="1"/>
          <w:docGrid w:linePitch="312" w:charSpace="0"/>
        </w:sectPr>
      </w:pPr>
    </w:p>
    <w:tbl>
      <w:tblPr>
        <w:tblStyle w:val="4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38"/>
        <w:gridCol w:w="750"/>
        <w:gridCol w:w="450"/>
        <w:gridCol w:w="510"/>
        <w:gridCol w:w="1230"/>
        <w:gridCol w:w="516"/>
        <w:gridCol w:w="819"/>
        <w:gridCol w:w="2580"/>
        <w:gridCol w:w="712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工作能力和业绩（65分）</w:t>
            </w:r>
          </w:p>
        </w:tc>
        <w:tc>
          <w:tcPr>
            <w:tcW w:w="93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奖项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全国美术作品展览</w:t>
            </w:r>
          </w:p>
        </w:tc>
        <w:tc>
          <w:tcPr>
            <w:tcW w:w="2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金奖</w:t>
            </w:r>
          </w:p>
        </w:tc>
        <w:tc>
          <w:tcPr>
            <w:tcW w:w="516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65</w:t>
            </w:r>
          </w:p>
        </w:tc>
        <w:tc>
          <w:tcPr>
            <w:tcW w:w="8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20n</w:t>
            </w:r>
          </w:p>
        </w:tc>
        <w:tc>
          <w:tcPr>
            <w:tcW w:w="258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1.合作作品获奖的，以比例计分，排名第一者、第二者、第三者以5:3:2折分计。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2.同一作品获奖按最高奖项计分，不重复计分。n为次数。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3.书法奖项按同等级类推。</w:t>
            </w: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银奖</w:t>
            </w:r>
          </w:p>
        </w:tc>
        <w:tc>
          <w:tcPr>
            <w:tcW w:w="51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铜奖</w:t>
            </w:r>
          </w:p>
        </w:tc>
        <w:tc>
          <w:tcPr>
            <w:tcW w:w="51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获奖提名</w:t>
            </w:r>
          </w:p>
        </w:tc>
        <w:tc>
          <w:tcPr>
            <w:tcW w:w="51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进京作品</w:t>
            </w:r>
          </w:p>
        </w:tc>
        <w:tc>
          <w:tcPr>
            <w:tcW w:w="51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入选</w:t>
            </w:r>
          </w:p>
        </w:tc>
        <w:tc>
          <w:tcPr>
            <w:tcW w:w="51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浙江省美术作品展览</w:t>
            </w:r>
          </w:p>
        </w:tc>
        <w:tc>
          <w:tcPr>
            <w:tcW w:w="2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金奖</w:t>
            </w:r>
          </w:p>
        </w:tc>
        <w:tc>
          <w:tcPr>
            <w:tcW w:w="51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银奖</w:t>
            </w:r>
          </w:p>
        </w:tc>
        <w:tc>
          <w:tcPr>
            <w:tcW w:w="51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铜奖</w:t>
            </w:r>
          </w:p>
        </w:tc>
        <w:tc>
          <w:tcPr>
            <w:tcW w:w="51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优秀奖</w:t>
            </w:r>
          </w:p>
        </w:tc>
        <w:tc>
          <w:tcPr>
            <w:tcW w:w="51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入选</w:t>
            </w:r>
          </w:p>
        </w:tc>
        <w:tc>
          <w:tcPr>
            <w:tcW w:w="51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其他综合、单项类</w:t>
            </w:r>
          </w:p>
        </w:tc>
        <w:tc>
          <w:tcPr>
            <w:tcW w:w="45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分等级</w:t>
            </w:r>
          </w:p>
        </w:tc>
        <w:tc>
          <w:tcPr>
            <w:tcW w:w="51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第一等级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</w:t>
            </w:r>
          </w:p>
        </w:tc>
        <w:tc>
          <w:tcPr>
            <w:tcW w:w="516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516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516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1.5n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第二等级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</w:t>
            </w:r>
          </w:p>
        </w:tc>
        <w:tc>
          <w:tcPr>
            <w:tcW w:w="516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516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1.5n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516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0.75n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不分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</w:t>
            </w:r>
          </w:p>
        </w:tc>
        <w:tc>
          <w:tcPr>
            <w:tcW w:w="516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516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1.5n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516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0.75n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93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创作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工程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国家级美术创作工程项目</w:t>
            </w:r>
          </w:p>
        </w:tc>
        <w:tc>
          <w:tcPr>
            <w:tcW w:w="51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8n</w:t>
            </w:r>
          </w:p>
        </w:tc>
        <w:tc>
          <w:tcPr>
            <w:tcW w:w="258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集体项目以比例计分，排名第一者、第二者、第三者以5:3:2折分计。n为次数。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省级美术创作工程项目</w:t>
            </w:r>
          </w:p>
        </w:tc>
        <w:tc>
          <w:tcPr>
            <w:tcW w:w="51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市厅级美术创作工程项目</w:t>
            </w:r>
          </w:p>
        </w:tc>
        <w:tc>
          <w:tcPr>
            <w:tcW w:w="51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93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艺术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基金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国家级艺术基金资助项目</w:t>
            </w:r>
          </w:p>
        </w:tc>
        <w:tc>
          <w:tcPr>
            <w:tcW w:w="51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省级艺术基金资助项目</w:t>
            </w:r>
          </w:p>
        </w:tc>
        <w:tc>
          <w:tcPr>
            <w:tcW w:w="51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科研项目（课题）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、业务项目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国家级科研项目（课题）、业务项目</w:t>
            </w:r>
          </w:p>
        </w:tc>
        <w:tc>
          <w:tcPr>
            <w:tcW w:w="5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省（部）级科研项目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（课题）、业务项目</w:t>
            </w:r>
          </w:p>
        </w:tc>
        <w:tc>
          <w:tcPr>
            <w:tcW w:w="51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市（厅）级科研项目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（课题）、业务项目</w:t>
            </w:r>
          </w:p>
        </w:tc>
        <w:tc>
          <w:tcPr>
            <w:tcW w:w="51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县（处）级科研项目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（课题）、业务项目</w:t>
            </w:r>
          </w:p>
        </w:tc>
        <w:tc>
          <w:tcPr>
            <w:tcW w:w="51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入选人才工程、专家荣誉称号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</w:t>
            </w:r>
          </w:p>
        </w:tc>
        <w:tc>
          <w:tcPr>
            <w:tcW w:w="5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58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按入选专业人才工程或荣誉相应等级专家称号的最高等级计分，不重复计分，也不累计计分。</w:t>
            </w: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51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51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县处级</w:t>
            </w:r>
          </w:p>
        </w:tc>
        <w:tc>
          <w:tcPr>
            <w:tcW w:w="51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业务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成果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</w:t>
            </w:r>
          </w:p>
        </w:tc>
        <w:tc>
          <w:tcPr>
            <w:tcW w:w="5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5n</w:t>
            </w:r>
          </w:p>
        </w:tc>
        <w:tc>
          <w:tcPr>
            <w:tcW w:w="2580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1.业务成果以行政主管部门或行业主管部门文件或者证明为准。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2.集体项目以比例计分，排名第一者、第二者、第三者以5:3:2折分计。n为次数。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3.业务成果最高分值为10分。</w:t>
            </w:r>
          </w:p>
        </w:tc>
        <w:tc>
          <w:tcPr>
            <w:tcW w:w="712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5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5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县处级</w:t>
            </w:r>
          </w:p>
        </w:tc>
        <w:tc>
          <w:tcPr>
            <w:tcW w:w="5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学术成果（10分）</w:t>
            </w:r>
          </w:p>
        </w:tc>
        <w:tc>
          <w:tcPr>
            <w:tcW w:w="93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论文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发表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（4分）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核心期刊</w:t>
            </w:r>
          </w:p>
        </w:tc>
        <w:tc>
          <w:tcPr>
            <w:tcW w:w="51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4n</w:t>
            </w:r>
          </w:p>
        </w:tc>
        <w:tc>
          <w:tcPr>
            <w:tcW w:w="258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1.n为篇数。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2.排名为第二的，按50%计分。</w:t>
            </w: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公开刊物、国家重点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美术馆刊物</w:t>
            </w:r>
          </w:p>
        </w:tc>
        <w:tc>
          <w:tcPr>
            <w:tcW w:w="51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内部刊物</w:t>
            </w:r>
          </w:p>
        </w:tc>
        <w:tc>
          <w:tcPr>
            <w:tcW w:w="51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专业著作出版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（6分）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专业专著</w:t>
            </w:r>
          </w:p>
        </w:tc>
        <w:tc>
          <w:tcPr>
            <w:tcW w:w="516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6n</w:t>
            </w:r>
          </w:p>
        </w:tc>
        <w:tc>
          <w:tcPr>
            <w:tcW w:w="2580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1.专业著作必须为正式出版物。</w:t>
            </w:r>
          </w:p>
          <w:p>
            <w:pPr>
              <w:pStyle w:val="6"/>
              <w:spacing w:line="32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2.n为部数。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3.排名为第二的，按50%计分。</w:t>
            </w:r>
          </w:p>
        </w:tc>
        <w:tc>
          <w:tcPr>
            <w:tcW w:w="712" w:type="dxa"/>
            <w:noWrap w:val="0"/>
            <w:vAlign w:val="top"/>
          </w:tcPr>
          <w:p>
            <w:pPr>
              <w:pStyle w:val="6"/>
              <w:spacing w:line="32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noWrap w:val="0"/>
            <w:vAlign w:val="top"/>
          </w:tcPr>
          <w:p>
            <w:pPr>
              <w:pStyle w:val="6"/>
              <w:spacing w:line="32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专业译著</w:t>
            </w:r>
          </w:p>
        </w:tc>
        <w:tc>
          <w:tcPr>
            <w:tcW w:w="516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4n</w:t>
            </w:r>
          </w:p>
        </w:tc>
        <w:tc>
          <w:tcPr>
            <w:tcW w:w="258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spacing w:line="560" w:lineRule="exact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snapToGrid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浙江省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美术专业副高级专业技术职务任职资格评价量化赋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分表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（自评分：</w:t>
      </w:r>
      <w:r>
        <w:rPr>
          <w:rFonts w:hint="eastAsia" w:ascii="方正小标宋简体" w:hAnsi="仿宋_GB2312" w:eastAsia="方正小标宋简体" w:cs="仿宋_GB2312"/>
          <w:b/>
          <w:snapToGrid w:val="0"/>
          <w:sz w:val="44"/>
          <w:szCs w:val="44"/>
          <w:u w:val="single"/>
        </w:rPr>
        <w:t xml:space="preserve">   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  <w:u w:val="single"/>
        </w:rPr>
        <w:t xml:space="preserve">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）</w:t>
      </w:r>
    </w:p>
    <w:p>
      <w:pPr>
        <w:widowControl/>
        <w:snapToGrid w:val="0"/>
        <w:spacing w:line="560" w:lineRule="exact"/>
        <w:jc w:val="center"/>
        <w:rPr>
          <w:rFonts w:ascii="楷体" w:hAnsi="楷体" w:eastAsia="楷体" w:cs="楷体"/>
          <w:bCs/>
          <w:kern w:val="0"/>
          <w:sz w:val="36"/>
          <w:szCs w:val="36"/>
        </w:rPr>
      </w:pPr>
      <w:r>
        <w:rPr>
          <w:rFonts w:hint="eastAsia" w:ascii="楷体" w:hAnsi="楷体" w:eastAsia="楷体" w:cs="楷体"/>
          <w:bCs/>
          <w:kern w:val="0"/>
          <w:sz w:val="36"/>
          <w:szCs w:val="36"/>
        </w:rPr>
        <w:t>（美术馆管理类）</w:t>
      </w:r>
    </w:p>
    <w:tbl>
      <w:tblPr>
        <w:tblStyle w:val="4"/>
        <w:tblW w:w="964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"/>
        <w:gridCol w:w="851"/>
        <w:gridCol w:w="992"/>
        <w:gridCol w:w="1418"/>
        <w:gridCol w:w="708"/>
        <w:gridCol w:w="709"/>
        <w:gridCol w:w="2268"/>
        <w:gridCol w:w="567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1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评价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一级指标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二级指标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最高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计分方式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自评分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职业道德（10分）</w:t>
            </w: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荣誉称号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（5分）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获劳动模范、工作先进个人、优秀共产党员、道德楷模等荣誉，取最高分值1次，不累计计分。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restart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县处级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志愿服务               （5分）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hd w:val="clear" w:color="FFFFFF" w:fill="D9D9D9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服务次数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0.5n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n为志愿服务次数。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专业技术基础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（15分）</w:t>
            </w: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学历学位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(4分)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（博士学位）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按最高学历和学位计分。有学位无学历的，按50%计分。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restart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（硕士学位）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专业资历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（8分）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本专业工作年限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0.2n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从事美术专业工作年限，每满1年给0.2分,其他专业年限不给分。n为年限。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restart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专业技术职务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任职年限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0.5n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取得中级专业技术职务任职资格后，聘任年限，每满1年给0.5分（自由职业者以实际从事美术专业技术工作年限计算）。n为年限。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继续教育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（3分）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近5年参加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继续教育情况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0.5n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近5年继续教育每年超过90学时的部分，每10个学时得0.5分。n为10个学时。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工作能力和业绩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7599680</wp:posOffset>
                      </wp:positionV>
                      <wp:extent cx="408305" cy="299720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305" cy="29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.5pt;margin-top:598.4pt;height:23.6pt;width:32.15pt;z-index:251659264;mso-width-relative:page;mso-height-relative:page;" filled="f" stroked="f" coordsize="21600,21600" o:gfxdata="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2tnG/XAAAACwEAAA8AAAAAAAAAAQAgAAAAIgAAAGRycy9kb3ducmV2LnhtbFBLAQIU&#10;ABQAAAAIAIdO4kBmp1mRuwEAAGQDAAAOAAAAAAAAAAEAIAAAACYBAABkcnMvZTJvRG9jLnhtbFBL&#10;BQYAAAAABgAGAFkBAABT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（65分）</w:t>
            </w: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专业奖项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（8分）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一等奖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8n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1.若为集体奖项，需由所在单位出具申报人具体工作情况说明文件，并列出排名位次。排名第一者、第二者、第三者以5:3:2折分计。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2.需提供获奖原始文件。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可以累计计分。n为次数。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县处级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二等奖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县处级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三等奖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县处级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不分等级奖项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县处级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入选人才工程、专家荣誉称号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（7分）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按入选专业人才工程或荣誉相应等级专家称号的最高等级计分，不重复计分，也不累计计分。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县处级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工作实绩（27分）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美术管理规划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主持完成规划项目1个以上；或作为主要成员完成规划项目2个以上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27分（基础分7分,效率分10分,附加分10分）</w:t>
            </w:r>
          </w:p>
        </w:tc>
        <w:tc>
          <w:tcPr>
            <w:tcW w:w="2977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1.基础分：完成副研究馆员专业工作能力和业绩对应的最低工作数量要求者，可得7分，未完成者，得0分。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2.效率分：根据申报人员的工作完成情况，工作成果为优秀者，得10分；良好者，得8分；一般者，得6分。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3.附加分由数量分和效率分组成，满分各5分。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数量分：5n，参照副研究馆员专业工作能力和业绩对应工作要求，根据申报人员的附加工作数量打分，n为附加工作量超最低工作数量要求的百分比；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效率分：根据申报人员的附加工作完成情况，工作成果为优秀者，得5分；良好者，得3分；一般者，得1分。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美术展览策划与实施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主持完成美术展览的策划和实施5个以上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美术展览陈列设计与实施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主持完成美术展览的陈列设计和实施5个以上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美术藏品研究与利用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主持完成藏品展览的策划和实施5个以上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美术藏品保管与保护修复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完成藏品档案2000件以上，并为5个以上展览提供展品；或作为主要成员参与科研项目（课题）2个以上；或编制美术藏品保护规划、方案2项以上，独立完成一定数量的美术藏品修复工作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美术推广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独立策划实施美术推广项目6个以上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业务成果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（15分）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5n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1.业务成果以行政主管部门或行业主管部门文件或者证明为准。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2.集体项目以比例计分，排名第一者、第二者、第三者以5:3:2折分计。n为次数。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restart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省部级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市厅级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县处级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科研项目（课题）、业务项目、艺术基金资助项目、标准（8分）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国家级科研项目（课题）、业务项目、艺术基金资助项目、行业标准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8n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1.集体项目（不含标准）以比例计分，排名第一者、第二者、第三者以5:3:2折分计。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2.集体项目（标准）以比例计分，排名第一者、第二者、第三者、第四者、第五者、第六者以3.5:2.5:1.5:1:0.8:0.7折分计。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3.n为次数。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省（部）级科研项目（课题）、业务项目、艺术基金资助项目、地方标准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市（厅）级科研项目（课题）、业务项目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县（处）级科研项目（课题）、业务项目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学术成果(10分)</w:t>
            </w: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论文发表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（4分）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核心期刊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4n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1.n为篇数。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2.排名为第二的，按50%计分。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公开刊物、国家重点美术馆刊物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内部刊物</w:t>
            </w: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0.5n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专业著作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（6分）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专业专著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6n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1.专业著作必须为正式出版物。</w:t>
            </w:r>
          </w:p>
          <w:p>
            <w:pPr>
              <w:pStyle w:val="6"/>
              <w:spacing w:line="32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2.n为部数。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3.排名为第二的，按50%计分。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pStyle w:val="6"/>
              <w:spacing w:line="32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restart"/>
            <w:noWrap w:val="0"/>
            <w:vAlign w:val="top"/>
          </w:tcPr>
          <w:p>
            <w:pPr>
              <w:pStyle w:val="6"/>
              <w:spacing w:line="320" w:lineRule="exact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专业译著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4n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560" w:lineRule="exact"/>
        <w:rPr>
          <w:rFonts w:ascii="楷体" w:hAnsi="楷体" w:eastAsia="楷体" w:cs="楷体"/>
          <w:bCs/>
          <w:kern w:val="0"/>
          <w:sz w:val="36"/>
          <w:szCs w:val="36"/>
        </w:rPr>
      </w:pPr>
    </w:p>
    <w:p>
      <w:pPr>
        <w:widowControl/>
        <w:snapToGrid w:val="0"/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51EC5FB3"/>
    <w:rsid w:val="0F411B1F"/>
    <w:rsid w:val="16C45AB7"/>
    <w:rsid w:val="27CF38E6"/>
    <w:rsid w:val="4C4E57DE"/>
    <w:rsid w:val="51EC5FB3"/>
    <w:rsid w:val="6B84392B"/>
    <w:rsid w:val="6CA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2644</Words>
  <Characters>2886</Characters>
  <Lines>0</Lines>
  <Paragraphs>0</Paragraphs>
  <TotalTime>0</TotalTime>
  <ScaleCrop>false</ScaleCrop>
  <LinksUpToDate>false</LinksUpToDate>
  <CharactersWithSpaces>2911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2022-09-14T02:44:00Z</dcterms:created>
  <dc:creator>黄晨希</dc:creator>
  <cp:lastModifiedBy>黄晨希</cp:lastModifiedBy>
  <dcterms:modified xsi:type="dcterms:W3CDTF">2022-09-14T02:47:45Z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F7789B6B9C09477888653B7F35E3CFD7</vt:lpwstr>
  </property>
</Properties>
</file>